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drawings/drawing2.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3E1" w:rsidRDefault="005A2FEB">
      <w:pPr>
        <w:rPr>
          <w:rFonts w:ascii="Times New Roman" w:hAnsi="Times New Roman" w:cs="Times New Roman"/>
          <w:b/>
          <w:sz w:val="28"/>
          <w:szCs w:val="28"/>
        </w:rPr>
      </w:pPr>
      <w:bookmarkStart w:id="0" w:name="_GoBack"/>
      <w:bookmarkEnd w:id="0"/>
      <w:r w:rsidRPr="00022895">
        <w:rPr>
          <w:rFonts w:ascii="Times New Roman" w:hAnsi="Times New Roman" w:cs="Times New Roman"/>
          <w:b/>
          <w:sz w:val="28"/>
          <w:szCs w:val="28"/>
        </w:rPr>
        <w:t xml:space="preserve">                                 Campania  S</w:t>
      </w:r>
      <w:r w:rsidR="002C43E1">
        <w:rPr>
          <w:rFonts w:ascii="Times New Roman" w:hAnsi="Times New Roman" w:cs="Times New Roman"/>
          <w:b/>
          <w:sz w:val="28"/>
          <w:szCs w:val="28"/>
        </w:rPr>
        <w:t>ă</w:t>
      </w:r>
      <w:r w:rsidRPr="00022895">
        <w:rPr>
          <w:rFonts w:ascii="Times New Roman" w:hAnsi="Times New Roman" w:cs="Times New Roman"/>
          <w:b/>
          <w:sz w:val="28"/>
          <w:szCs w:val="28"/>
        </w:rPr>
        <w:t>n</w:t>
      </w:r>
      <w:r w:rsidR="002C43E1">
        <w:rPr>
          <w:rFonts w:ascii="Times New Roman" w:hAnsi="Times New Roman" w:cs="Times New Roman"/>
          <w:b/>
          <w:sz w:val="28"/>
          <w:szCs w:val="28"/>
        </w:rPr>
        <w:t>ă</w:t>
      </w:r>
      <w:r w:rsidRPr="00022895">
        <w:rPr>
          <w:rFonts w:ascii="Times New Roman" w:hAnsi="Times New Roman" w:cs="Times New Roman"/>
          <w:b/>
          <w:sz w:val="28"/>
          <w:szCs w:val="28"/>
        </w:rPr>
        <w:t xml:space="preserve">tatea Reproducerii </w:t>
      </w:r>
    </w:p>
    <w:p w:rsidR="00DD1D93" w:rsidRPr="002C43E1" w:rsidRDefault="005A2FEB">
      <w:pPr>
        <w:rPr>
          <w:rFonts w:ascii="Times New Roman" w:hAnsi="Times New Roman" w:cs="Times New Roman"/>
          <w:b/>
          <w:sz w:val="24"/>
          <w:szCs w:val="24"/>
        </w:rPr>
      </w:pPr>
      <w:r w:rsidRPr="002C43E1">
        <w:rPr>
          <w:rFonts w:ascii="Times New Roman" w:hAnsi="Times New Roman" w:cs="Times New Roman"/>
          <w:b/>
          <w:color w:val="4F6228" w:themeColor="accent3" w:themeShade="80"/>
          <w:sz w:val="24"/>
          <w:szCs w:val="24"/>
        </w:rPr>
        <w:t>“</w:t>
      </w:r>
      <w:r w:rsidR="002C43E1" w:rsidRPr="00FF6654">
        <w:rPr>
          <w:rFonts w:ascii="Times New Roman" w:hAnsi="Times New Roman" w:cs="Times New Roman"/>
          <w:b/>
          <w:i/>
          <w:color w:val="4F6228" w:themeColor="accent3" w:themeShade="80"/>
          <w:sz w:val="28"/>
          <w:szCs w:val="28"/>
        </w:rPr>
        <w:t>Protejează-ți sănătatea! Sănătatea reproducerii – dreptul și responsabilitatea ta!</w:t>
      </w:r>
      <w:r w:rsidR="002C43E1" w:rsidRPr="002C43E1">
        <w:rPr>
          <w:rFonts w:ascii="Times New Roman" w:hAnsi="Times New Roman" w:cs="Times New Roman"/>
          <w:b/>
          <w:i/>
          <w:color w:val="4F6228" w:themeColor="accent3" w:themeShade="80"/>
          <w:sz w:val="24"/>
          <w:szCs w:val="24"/>
        </w:rPr>
        <w:t xml:space="preserve"> “</w:t>
      </w:r>
      <w:r w:rsidR="002C43E1" w:rsidRPr="002C43E1">
        <w:rPr>
          <w:rFonts w:ascii="Times New Roman" w:hAnsi="Times New Roman" w:cs="Times New Roman"/>
          <w:b/>
          <w:color w:val="4F6228" w:themeColor="accent3" w:themeShade="80"/>
          <w:sz w:val="24"/>
          <w:szCs w:val="24"/>
        </w:rPr>
        <w:t xml:space="preserve">                   </w:t>
      </w:r>
    </w:p>
    <w:p w:rsidR="005A2FEB" w:rsidRPr="00022895" w:rsidRDefault="005A2FEB">
      <w:pPr>
        <w:rPr>
          <w:rFonts w:ascii="Times New Roman" w:hAnsi="Times New Roman" w:cs="Times New Roman"/>
          <w:b/>
          <w:sz w:val="28"/>
          <w:szCs w:val="28"/>
        </w:rPr>
      </w:pPr>
      <w:r w:rsidRPr="00022895">
        <w:rPr>
          <w:rFonts w:ascii="Times New Roman" w:hAnsi="Times New Roman" w:cs="Times New Roman"/>
          <w:b/>
          <w:sz w:val="28"/>
          <w:szCs w:val="28"/>
        </w:rPr>
        <w:t xml:space="preserve">                                                    Februarie 2023</w:t>
      </w:r>
    </w:p>
    <w:p w:rsidR="005A2FEB" w:rsidRPr="00022895" w:rsidRDefault="005A2FEB">
      <w:pPr>
        <w:rPr>
          <w:rFonts w:ascii="Times New Roman" w:hAnsi="Times New Roman" w:cs="Times New Roman"/>
          <w:b/>
          <w:sz w:val="28"/>
          <w:szCs w:val="28"/>
        </w:rPr>
      </w:pPr>
      <w:r w:rsidRPr="00022895">
        <w:rPr>
          <w:rFonts w:ascii="Times New Roman" w:hAnsi="Times New Roman" w:cs="Times New Roman"/>
          <w:b/>
          <w:sz w:val="28"/>
          <w:szCs w:val="28"/>
        </w:rPr>
        <w:t xml:space="preserve">                                                   Analiza de situatie </w:t>
      </w:r>
    </w:p>
    <w:p w:rsidR="002C43E1" w:rsidRDefault="002C43E1" w:rsidP="00071C3B">
      <w:pPr>
        <w:spacing w:after="100" w:afterAutospacing="1"/>
        <w:jc w:val="both"/>
        <w:rPr>
          <w:rStyle w:val="q4iawc"/>
          <w:rFonts w:ascii="Times New Roman" w:hAnsi="Times New Roman" w:cs="Times New Roman"/>
          <w:lang w:val="ro-RO"/>
        </w:rPr>
      </w:pPr>
    </w:p>
    <w:p w:rsidR="002C43E1" w:rsidRDefault="002C43E1" w:rsidP="00071C3B">
      <w:pPr>
        <w:spacing w:after="100" w:afterAutospacing="1"/>
        <w:jc w:val="both"/>
        <w:rPr>
          <w:rStyle w:val="q4iawc"/>
          <w:rFonts w:ascii="Times New Roman" w:hAnsi="Times New Roman" w:cs="Times New Roman"/>
          <w:lang w:val="ro-RO"/>
        </w:rPr>
      </w:pPr>
      <w:r>
        <w:rPr>
          <w:rStyle w:val="q4iawc"/>
          <w:rFonts w:ascii="Times New Roman" w:hAnsi="Times New Roman" w:cs="Times New Roman"/>
          <w:lang w:val="ro-RO"/>
        </w:rPr>
        <w:t xml:space="preserve"> CUPRINS</w:t>
      </w:r>
    </w:p>
    <w:p w:rsidR="002C43E1" w:rsidRPr="00A71A1C" w:rsidRDefault="002C43E1" w:rsidP="002C43E1">
      <w:pPr>
        <w:spacing w:after="0"/>
        <w:jc w:val="both"/>
        <w:rPr>
          <w:rFonts w:ascii="Times New Roman" w:hAnsi="Times New Roman" w:cs="Times New Roman"/>
          <w:lang w:val="fr-FR"/>
        </w:rPr>
      </w:pPr>
      <w:r w:rsidRPr="00A71A1C">
        <w:rPr>
          <w:rFonts w:ascii="Times New Roman" w:hAnsi="Times New Roman" w:cs="Times New Roman"/>
          <w:lang w:val="fr-FR"/>
        </w:rPr>
        <w:t>Introducere …………………………………………………………………………………..…</w:t>
      </w:r>
      <w:r>
        <w:rPr>
          <w:rFonts w:ascii="Times New Roman" w:hAnsi="Times New Roman" w:cs="Times New Roman"/>
          <w:lang w:val="fr-FR"/>
        </w:rPr>
        <w:t>..</w:t>
      </w:r>
      <w:r w:rsidRPr="00A71A1C">
        <w:rPr>
          <w:rFonts w:ascii="Times New Roman" w:hAnsi="Times New Roman" w:cs="Times New Roman"/>
          <w:lang w:val="fr-FR"/>
        </w:rPr>
        <w:t>.</w:t>
      </w:r>
      <w:r w:rsidR="00FB1392">
        <w:rPr>
          <w:rFonts w:ascii="Times New Roman" w:hAnsi="Times New Roman" w:cs="Times New Roman"/>
          <w:lang w:val="fr-FR"/>
        </w:rPr>
        <w:t>..</w:t>
      </w:r>
      <w:r w:rsidRPr="00A71A1C">
        <w:rPr>
          <w:rFonts w:ascii="Times New Roman" w:hAnsi="Times New Roman" w:cs="Times New Roman"/>
          <w:lang w:val="fr-FR"/>
        </w:rPr>
        <w:t xml:space="preserve">pag. </w:t>
      </w:r>
      <w:r w:rsidR="00A52AC6">
        <w:rPr>
          <w:rFonts w:ascii="Times New Roman" w:hAnsi="Times New Roman" w:cs="Times New Roman"/>
          <w:lang w:val="fr-FR"/>
        </w:rPr>
        <w:t>1</w:t>
      </w:r>
    </w:p>
    <w:p w:rsidR="002C43E1" w:rsidRPr="00A71A1C" w:rsidRDefault="002C43E1" w:rsidP="000B3F94">
      <w:pPr>
        <w:spacing w:after="0"/>
        <w:jc w:val="both"/>
        <w:rPr>
          <w:rFonts w:ascii="Times New Roman" w:hAnsi="Times New Roman" w:cs="Times New Roman"/>
          <w:color w:val="000000" w:themeColor="text1"/>
          <w:lang w:val="ro-RO" w:eastAsia="ro-RO"/>
        </w:rPr>
      </w:pPr>
      <w:r w:rsidRPr="00A71A1C">
        <w:rPr>
          <w:rFonts w:ascii="Times New Roman" w:hAnsi="Times New Roman" w:cs="Times New Roman"/>
          <w:color w:val="000000" w:themeColor="text1"/>
          <w:lang w:val="ro-RO" w:eastAsia="ro-RO"/>
        </w:rPr>
        <w:t xml:space="preserve">Date statistice la nivel european, național și județean privind nivelul și dinamica fenomenului..pag. </w:t>
      </w:r>
      <w:r w:rsidR="00313B9B">
        <w:rPr>
          <w:rFonts w:ascii="Times New Roman" w:hAnsi="Times New Roman" w:cs="Times New Roman"/>
          <w:color w:val="000000" w:themeColor="text1"/>
          <w:lang w:val="ro-RO" w:eastAsia="ro-RO"/>
        </w:rPr>
        <w:t>2</w:t>
      </w:r>
    </w:p>
    <w:p w:rsidR="002C43E1" w:rsidRDefault="002C43E1" w:rsidP="000B3F94">
      <w:pPr>
        <w:spacing w:after="0"/>
        <w:jc w:val="both"/>
        <w:rPr>
          <w:rFonts w:ascii="Times New Roman" w:hAnsi="Times New Roman" w:cs="Times New Roman"/>
          <w:color w:val="000000" w:themeColor="text1"/>
          <w:lang w:val="ro-RO" w:eastAsia="ro-RO"/>
        </w:rPr>
      </w:pPr>
      <w:r w:rsidRPr="00A71A1C">
        <w:rPr>
          <w:rFonts w:ascii="Times New Roman" w:hAnsi="Times New Roman" w:cs="Times New Roman"/>
          <w:color w:val="000000" w:themeColor="text1"/>
          <w:lang w:val="ro-RO" w:eastAsia="ro-RO"/>
        </w:rPr>
        <w:t>Date cu rezultate relevante din studii naționale, europene și internaționale...............................</w:t>
      </w:r>
      <w:r w:rsidR="00FB1392">
        <w:rPr>
          <w:rFonts w:ascii="Times New Roman" w:hAnsi="Times New Roman" w:cs="Times New Roman"/>
          <w:color w:val="000000" w:themeColor="text1"/>
          <w:lang w:val="ro-RO" w:eastAsia="ro-RO"/>
        </w:rPr>
        <w:t>......</w:t>
      </w:r>
      <w:r w:rsidR="00B96E60">
        <w:rPr>
          <w:rFonts w:ascii="Times New Roman" w:hAnsi="Times New Roman" w:cs="Times New Roman"/>
          <w:color w:val="000000" w:themeColor="text1"/>
          <w:lang w:val="ro-RO" w:eastAsia="ro-RO"/>
        </w:rPr>
        <w:t>...</w:t>
      </w:r>
      <w:r w:rsidRPr="00A71A1C">
        <w:rPr>
          <w:rFonts w:ascii="Times New Roman" w:hAnsi="Times New Roman" w:cs="Times New Roman"/>
          <w:color w:val="000000" w:themeColor="text1"/>
          <w:lang w:val="ro-RO" w:eastAsia="ro-RO"/>
        </w:rPr>
        <w:t>.</w:t>
      </w:r>
      <w:r w:rsidR="00FB1392">
        <w:rPr>
          <w:rFonts w:ascii="Times New Roman" w:hAnsi="Times New Roman" w:cs="Times New Roman"/>
          <w:color w:val="000000" w:themeColor="text1"/>
          <w:lang w:val="ro-RO" w:eastAsia="ro-RO"/>
        </w:rPr>
        <w:t>pag.</w:t>
      </w:r>
      <w:r w:rsidR="000B3F94">
        <w:rPr>
          <w:rFonts w:ascii="Times New Roman" w:hAnsi="Times New Roman" w:cs="Times New Roman"/>
          <w:color w:val="000000" w:themeColor="text1"/>
          <w:lang w:val="ro-RO" w:eastAsia="ro-RO"/>
        </w:rPr>
        <w:t>19</w:t>
      </w:r>
    </w:p>
    <w:p w:rsidR="000B3F94" w:rsidRPr="000B3F94" w:rsidRDefault="000B3F94" w:rsidP="000B3F94">
      <w:pPr>
        <w:spacing w:after="0"/>
        <w:jc w:val="both"/>
        <w:rPr>
          <w:rFonts w:ascii="Times New Roman" w:hAnsi="Times New Roman" w:cs="Times New Roman"/>
          <w:color w:val="000000" w:themeColor="text1"/>
          <w:lang w:val="ro-RO" w:eastAsia="ro-RO"/>
        </w:rPr>
      </w:pPr>
      <w:r w:rsidRPr="000B3F94">
        <w:rPr>
          <w:rFonts w:ascii="Times New Roman" w:hAnsi="Times New Roman" w:cs="Times New Roman"/>
          <w:color w:val="000000" w:themeColor="text1"/>
          <w:lang w:val="ro-RO"/>
        </w:rPr>
        <w:t>Rezultatele obținute în urma aplicării și analizei rezultatelor din chestionarele KAP</w:t>
      </w:r>
      <w:r>
        <w:rPr>
          <w:rFonts w:ascii="Times New Roman" w:hAnsi="Times New Roman" w:cs="Times New Roman"/>
          <w:color w:val="000000" w:themeColor="text1"/>
          <w:lang w:val="ro-RO"/>
        </w:rPr>
        <w:t>..................pag.20</w:t>
      </w:r>
    </w:p>
    <w:p w:rsidR="000B3F94" w:rsidRDefault="000B3F94" w:rsidP="002C43E1">
      <w:pPr>
        <w:spacing w:after="100" w:afterAutospacing="1"/>
        <w:jc w:val="both"/>
        <w:rPr>
          <w:rStyle w:val="q4iawc"/>
          <w:rFonts w:ascii="Times New Roman" w:hAnsi="Times New Roman" w:cs="Times New Roman"/>
          <w:lang w:val="ro-RO"/>
        </w:rPr>
      </w:pPr>
    </w:p>
    <w:p w:rsidR="00A52AC6" w:rsidRDefault="00A52AC6" w:rsidP="00071C3B">
      <w:pPr>
        <w:spacing w:after="100" w:afterAutospacing="1"/>
        <w:jc w:val="both"/>
        <w:rPr>
          <w:rStyle w:val="q4iawc"/>
          <w:rFonts w:ascii="Times New Roman" w:hAnsi="Times New Roman" w:cs="Times New Roman"/>
          <w:b/>
          <w:lang w:val="ro-RO"/>
        </w:rPr>
      </w:pPr>
    </w:p>
    <w:p w:rsidR="002C43E1" w:rsidRPr="002C43E1" w:rsidRDefault="002C43E1" w:rsidP="00071C3B">
      <w:pPr>
        <w:spacing w:after="100" w:afterAutospacing="1"/>
        <w:jc w:val="both"/>
        <w:rPr>
          <w:rStyle w:val="q4iawc"/>
          <w:rFonts w:ascii="Times New Roman" w:hAnsi="Times New Roman" w:cs="Times New Roman"/>
          <w:b/>
          <w:lang w:val="ro-RO"/>
        </w:rPr>
      </w:pPr>
      <w:r w:rsidRPr="002C43E1">
        <w:rPr>
          <w:rStyle w:val="q4iawc"/>
          <w:rFonts w:ascii="Times New Roman" w:hAnsi="Times New Roman" w:cs="Times New Roman"/>
          <w:b/>
          <w:lang w:val="ro-RO"/>
        </w:rPr>
        <w:t>INTRODUCERE</w:t>
      </w:r>
    </w:p>
    <w:p w:rsidR="003504C7" w:rsidRPr="002C43E1" w:rsidRDefault="006B192C" w:rsidP="002C43E1">
      <w:pPr>
        <w:spacing w:after="0"/>
        <w:jc w:val="both"/>
        <w:rPr>
          <w:rStyle w:val="q4iawc"/>
          <w:rFonts w:ascii="Times New Roman" w:hAnsi="Times New Roman" w:cs="Times New Roman"/>
          <w:lang w:val="ro-RO"/>
        </w:rPr>
      </w:pPr>
      <w:r w:rsidRPr="002C43E1">
        <w:rPr>
          <w:rStyle w:val="q4iawc"/>
          <w:rFonts w:ascii="Times New Roman" w:hAnsi="Times New Roman" w:cs="Times New Roman"/>
          <w:lang w:val="ro-RO"/>
        </w:rPr>
        <w:t xml:space="preserve">Sănătatea reproducerii este definită ca un ansamblu de metode, tehnici și servicii care contribuie la o bunăstare fizică, mentală și socială prin prevenirea problemelor legate de reproducere și rezolvarea lor. </w:t>
      </w:r>
    </w:p>
    <w:p w:rsidR="00071C3B" w:rsidRDefault="00071C3B" w:rsidP="002C43E1">
      <w:pPr>
        <w:spacing w:after="0"/>
        <w:jc w:val="both"/>
        <w:rPr>
          <w:rStyle w:val="q4iawc"/>
          <w:rFonts w:ascii="Times New Roman" w:hAnsi="Times New Roman" w:cs="Times New Roman"/>
          <w:lang w:val="ro-RO"/>
        </w:rPr>
      </w:pPr>
      <w:r>
        <w:rPr>
          <w:rStyle w:val="q4iawc"/>
          <w:rFonts w:ascii="Times New Roman" w:hAnsi="Times New Roman" w:cs="Times New Roman"/>
          <w:lang w:val="ro-RO"/>
        </w:rPr>
        <w:t>V</w:t>
      </w:r>
      <w:r w:rsidR="007D3FFF">
        <w:rPr>
          <w:rStyle w:val="q4iawc"/>
          <w:rFonts w:ascii="Times New Roman" w:hAnsi="Times New Roman" w:cs="Times New Roman"/>
          <w:lang w:val="ro-RO"/>
        </w:rPr>
        <w:t>â</w:t>
      </w:r>
      <w:r>
        <w:rPr>
          <w:rStyle w:val="q4iawc"/>
          <w:rFonts w:ascii="Times New Roman" w:hAnsi="Times New Roman" w:cs="Times New Roman"/>
          <w:lang w:val="ro-RO"/>
        </w:rPr>
        <w:t>rsta mamei de 35-40 ani sau peste la primul născut este însoți</w:t>
      </w:r>
      <w:r w:rsidR="00595160">
        <w:rPr>
          <w:rStyle w:val="q4iawc"/>
          <w:rFonts w:ascii="Times New Roman" w:hAnsi="Times New Roman" w:cs="Times New Roman"/>
          <w:lang w:val="ro-RO"/>
        </w:rPr>
        <w:t>t</w:t>
      </w:r>
      <w:r>
        <w:rPr>
          <w:rStyle w:val="q4iawc"/>
          <w:rFonts w:ascii="Times New Roman" w:hAnsi="Times New Roman" w:cs="Times New Roman"/>
          <w:lang w:val="ro-RO"/>
        </w:rPr>
        <w:t>ă de o serie de probleme de reproducere.</w:t>
      </w:r>
    </w:p>
    <w:p w:rsidR="00007517" w:rsidRPr="00BC6F3C" w:rsidRDefault="00007517" w:rsidP="002C43E1">
      <w:pPr>
        <w:spacing w:after="0" w:line="240" w:lineRule="auto"/>
        <w:jc w:val="both"/>
        <w:rPr>
          <w:rFonts w:ascii="Times New Roman" w:eastAsia="Times New Roman" w:hAnsi="Times New Roman" w:cs="Times New Roman"/>
          <w:lang w:val="ro-RO"/>
        </w:rPr>
      </w:pPr>
      <w:r w:rsidRPr="00BC6F3C">
        <w:rPr>
          <w:rFonts w:ascii="Times New Roman" w:eastAsia="Times New Roman" w:hAnsi="Times New Roman" w:cs="Times New Roman"/>
          <w:lang w:val="ro-RO"/>
        </w:rPr>
        <w:t>De asemenea, sarcini</w:t>
      </w:r>
      <w:r w:rsidR="00071C3B">
        <w:rPr>
          <w:rFonts w:ascii="Times New Roman" w:eastAsia="Times New Roman" w:hAnsi="Times New Roman" w:cs="Times New Roman"/>
          <w:lang w:val="ro-RO"/>
        </w:rPr>
        <w:t>le</w:t>
      </w:r>
      <w:r w:rsidRPr="00BC6F3C">
        <w:rPr>
          <w:rFonts w:ascii="Times New Roman" w:eastAsia="Times New Roman" w:hAnsi="Times New Roman" w:cs="Times New Roman"/>
          <w:lang w:val="ro-RO"/>
        </w:rPr>
        <w:t xml:space="preserve"> la minore, </w:t>
      </w:r>
      <w:r w:rsidR="00071C3B">
        <w:rPr>
          <w:rFonts w:ascii="Times New Roman" w:eastAsia="Times New Roman" w:hAnsi="Times New Roman" w:cs="Times New Roman"/>
          <w:lang w:val="ro-RO"/>
        </w:rPr>
        <w:t>sunt însoțite de peobleme atât pentru făt cât și pentru mamă, î</w:t>
      </w:r>
      <w:r w:rsidRPr="00BC6F3C">
        <w:rPr>
          <w:rFonts w:ascii="Times New Roman" w:eastAsia="Times New Roman" w:hAnsi="Times New Roman" w:cs="Times New Roman"/>
          <w:lang w:val="ro-RO"/>
        </w:rPr>
        <w:t>n condi</w:t>
      </w:r>
      <w:r w:rsidR="00071C3B">
        <w:rPr>
          <w:rFonts w:ascii="Times New Roman" w:eastAsia="Times New Roman" w:hAnsi="Times New Roman" w:cs="Times New Roman"/>
          <w:lang w:val="ro-RO"/>
        </w:rPr>
        <w:t>ț</w:t>
      </w:r>
      <w:r w:rsidRPr="00BC6F3C">
        <w:rPr>
          <w:rFonts w:ascii="Times New Roman" w:eastAsia="Times New Roman" w:hAnsi="Times New Roman" w:cs="Times New Roman"/>
          <w:lang w:val="ro-RO"/>
        </w:rPr>
        <w:t>iile</w:t>
      </w:r>
      <w:r w:rsidR="00071C3B">
        <w:rPr>
          <w:rFonts w:ascii="Times New Roman" w:eastAsia="Times New Roman" w:hAnsi="Times New Roman" w:cs="Times New Roman"/>
          <w:lang w:val="ro-RO"/>
        </w:rPr>
        <w:t xml:space="preserve"> î</w:t>
      </w:r>
      <w:r w:rsidRPr="00BC6F3C">
        <w:rPr>
          <w:rFonts w:ascii="Times New Roman" w:eastAsia="Times New Roman" w:hAnsi="Times New Roman" w:cs="Times New Roman"/>
          <w:lang w:val="ro-RO"/>
        </w:rPr>
        <w:t>n care aparatul genital nu este pe deplin maturizat.</w:t>
      </w:r>
    </w:p>
    <w:p w:rsidR="00071C3B" w:rsidRDefault="00CA78CB" w:rsidP="003504C7">
      <w:pPr>
        <w:spacing w:after="100" w:afterAutospacing="1" w:line="240" w:lineRule="auto"/>
        <w:jc w:val="both"/>
        <w:rPr>
          <w:rFonts w:ascii="Times New Roman" w:hAnsi="Times New Roman" w:cs="Times New Roman"/>
        </w:rPr>
      </w:pPr>
      <w:r w:rsidRPr="00BC6F3C">
        <w:rPr>
          <w:rFonts w:ascii="Times New Roman" w:hAnsi="Times New Roman" w:cs="Times New Roman"/>
        </w:rPr>
        <w:t xml:space="preserve">Sarcinile timpurii în rândul adolescentelor au consecințe majore asupra sănătății mamelor adolescente și a copiilor acestora. Sarcina la adolescente poate avea impact asupra sănătății fizice, mintale și asupra statusului socio-economic al acestora. Mamele adolescente cu vârsta cuprinsă între 10 și 19 ani se confruntă cu riscuri mai mari de eclampsie, endometrită puerperală și infecții sistemice decât femeile cu vârsta cuprinsă între 20 și 24 de ani. Complicațiile legate de sarcină și de naștere sunt principala cauză de deces în rândul fetelor cu vârsta cuprinsă între 10 și 19 ani la nivel global. </w:t>
      </w:r>
    </w:p>
    <w:p w:rsidR="00CA78CB" w:rsidRDefault="00CA78CB" w:rsidP="003504C7">
      <w:pPr>
        <w:spacing w:after="100" w:afterAutospacing="1" w:line="240" w:lineRule="auto"/>
        <w:jc w:val="both"/>
        <w:rPr>
          <w:rFonts w:ascii="Times New Roman" w:hAnsi="Times New Roman" w:cs="Times New Roman"/>
          <w:b/>
        </w:rPr>
      </w:pPr>
      <w:r w:rsidRPr="0059330F">
        <w:rPr>
          <w:rFonts w:ascii="Times New Roman" w:hAnsi="Times New Roman" w:cs="Times New Roman"/>
          <w:b/>
        </w:rPr>
        <w:t>Din cele aprox. 5,6 milioane de avorturi înregistrate anual în râ</w:t>
      </w:r>
      <w:r w:rsidR="0059330F">
        <w:rPr>
          <w:rFonts w:ascii="Times New Roman" w:hAnsi="Times New Roman" w:cs="Times New Roman"/>
          <w:b/>
        </w:rPr>
        <w:t>n</w:t>
      </w:r>
      <w:r w:rsidRPr="0059330F">
        <w:rPr>
          <w:rFonts w:ascii="Times New Roman" w:hAnsi="Times New Roman" w:cs="Times New Roman"/>
          <w:b/>
        </w:rPr>
        <w:t xml:space="preserve">dul adolescentelor </w:t>
      </w:r>
      <w:r w:rsidR="00071C3B" w:rsidRPr="0059330F">
        <w:rPr>
          <w:rFonts w:ascii="Times New Roman" w:hAnsi="Times New Roman" w:cs="Times New Roman"/>
          <w:b/>
        </w:rPr>
        <w:t xml:space="preserve">la </w:t>
      </w:r>
      <w:r w:rsidR="00071C3B" w:rsidRPr="002C43E1">
        <w:rPr>
          <w:rFonts w:ascii="Times New Roman" w:hAnsi="Times New Roman" w:cs="Times New Roman"/>
          <w:b/>
        </w:rPr>
        <w:t xml:space="preserve">nivel </w:t>
      </w:r>
      <w:r w:rsidR="0059330F" w:rsidRPr="002C43E1">
        <w:rPr>
          <w:rFonts w:ascii="Times New Roman" w:hAnsi="Times New Roman" w:cs="Times New Roman"/>
          <w:b/>
        </w:rPr>
        <w:t>mondial</w:t>
      </w:r>
      <w:r w:rsidR="00071C3B" w:rsidRPr="002C43E1">
        <w:rPr>
          <w:rFonts w:ascii="Times New Roman" w:hAnsi="Times New Roman" w:cs="Times New Roman"/>
          <w:b/>
        </w:rPr>
        <w:t xml:space="preserve"> </w:t>
      </w:r>
      <w:r w:rsidRPr="0059330F">
        <w:rPr>
          <w:rFonts w:ascii="Times New Roman" w:hAnsi="Times New Roman" w:cs="Times New Roman"/>
          <w:b/>
        </w:rPr>
        <w:t>cu vârste între 15 și 19 ani, 3,9 milioane sunt la risc de mortalitate maternă, morbiditate și probleme de sănătate pe termen lung.</w:t>
      </w:r>
      <w:r w:rsidR="0059330F" w:rsidRPr="0059330F">
        <w:t xml:space="preserve"> </w:t>
      </w:r>
    </w:p>
    <w:p w:rsidR="0093465E" w:rsidRPr="00BC6F3C" w:rsidRDefault="00CA78CB" w:rsidP="00CA78CB">
      <w:pPr>
        <w:spacing w:after="0"/>
        <w:jc w:val="both"/>
        <w:rPr>
          <w:rFonts w:ascii="Times New Roman" w:eastAsia="Times New Roman" w:hAnsi="Times New Roman" w:cs="Times New Roman"/>
          <w:lang w:val="ro-RO"/>
        </w:rPr>
      </w:pPr>
      <w:r w:rsidRPr="00BC6F3C">
        <w:rPr>
          <w:rFonts w:ascii="Times New Roman" w:eastAsia="Times New Roman" w:hAnsi="Times New Roman" w:cs="Times New Roman"/>
          <w:lang w:val="ro-RO"/>
        </w:rPr>
        <w:t>Nou născuții provenind din mame cu vârste mai mici de 20 de ani se confruntă cu riscuri mai mari de afecțiuni neonatale severe, greutate mică la naștere, naștere prematură -- î</w:t>
      </w:r>
      <w:r w:rsidRPr="00BC6F3C">
        <w:rPr>
          <w:rStyle w:val="q4iawc"/>
          <w:rFonts w:ascii="Times New Roman" w:hAnsi="Times New Roman" w:cs="Times New Roman"/>
          <w:lang w:val="ro-RO"/>
        </w:rPr>
        <w:t>n fiecare an, se estimează că 15 milioane de copii se nasc prematur (înainte de 37 de săptămâni de gestație încheiate).</w:t>
      </w:r>
      <w:r w:rsidRPr="00BC6F3C">
        <w:rPr>
          <w:rFonts w:ascii="Times New Roman" w:eastAsia="Times New Roman" w:hAnsi="Times New Roman" w:cs="Times New Roman"/>
          <w:lang w:val="ro-RO"/>
        </w:rPr>
        <w:t xml:space="preserve"> În unele situații, sarcinile repetate la intervale mici de timp, prezintă riscuri suplimentare pentru sănătate atât pentru mamă, cât și pentru copil.</w:t>
      </w:r>
      <w:r w:rsidR="00071C3B">
        <w:rPr>
          <w:rFonts w:ascii="Times New Roman" w:eastAsia="Times New Roman" w:hAnsi="Times New Roman" w:cs="Times New Roman"/>
          <w:lang w:val="ro-RO"/>
        </w:rPr>
        <w:t xml:space="preserve"> </w:t>
      </w:r>
      <w:r w:rsidR="0093465E" w:rsidRPr="00BC6F3C">
        <w:rPr>
          <w:rFonts w:ascii="Times New Roman" w:eastAsia="Times New Roman" w:hAnsi="Times New Roman" w:cs="Times New Roman"/>
          <w:lang w:val="ro-RO"/>
        </w:rPr>
        <w:t xml:space="preserve">Sanatatea copilului </w:t>
      </w:r>
      <w:r w:rsidR="003504C7">
        <w:rPr>
          <w:rFonts w:ascii="Times New Roman" w:eastAsia="Times New Roman" w:hAnsi="Times New Roman" w:cs="Times New Roman"/>
          <w:lang w:val="ro-RO"/>
        </w:rPr>
        <w:t>în</w:t>
      </w:r>
      <w:r w:rsidR="002A17B2" w:rsidRPr="00BC6F3C">
        <w:rPr>
          <w:rFonts w:ascii="Times New Roman" w:eastAsia="Times New Roman" w:hAnsi="Times New Roman" w:cs="Times New Roman"/>
          <w:lang w:val="ro-RO"/>
        </w:rPr>
        <w:t xml:space="preserve"> primii ani de via</w:t>
      </w:r>
      <w:r w:rsidR="003504C7">
        <w:rPr>
          <w:rFonts w:ascii="Times New Roman" w:eastAsia="Times New Roman" w:hAnsi="Times New Roman" w:cs="Times New Roman"/>
          <w:lang w:val="ro-RO"/>
        </w:rPr>
        <w:t>ță</w:t>
      </w:r>
      <w:r w:rsidR="002A17B2" w:rsidRPr="00BC6F3C">
        <w:rPr>
          <w:rFonts w:ascii="Times New Roman" w:eastAsia="Times New Roman" w:hAnsi="Times New Roman" w:cs="Times New Roman"/>
          <w:lang w:val="ro-RO"/>
        </w:rPr>
        <w:t xml:space="preserve"> </w:t>
      </w:r>
      <w:r w:rsidR="0093465E" w:rsidRPr="00BC6F3C">
        <w:rPr>
          <w:rFonts w:ascii="Times New Roman" w:eastAsia="Times New Roman" w:hAnsi="Times New Roman" w:cs="Times New Roman"/>
          <w:lang w:val="ro-RO"/>
        </w:rPr>
        <w:t xml:space="preserve">e </w:t>
      </w:r>
      <w:r w:rsidR="003504C7">
        <w:rPr>
          <w:rFonts w:ascii="Times New Roman" w:eastAsia="Times New Roman" w:hAnsi="Times New Roman" w:cs="Times New Roman"/>
          <w:lang w:val="ro-RO"/>
        </w:rPr>
        <w:t>î</w:t>
      </w:r>
      <w:r w:rsidR="0093465E" w:rsidRPr="00BC6F3C">
        <w:rPr>
          <w:rFonts w:ascii="Times New Roman" w:eastAsia="Times New Roman" w:hAnsi="Times New Roman" w:cs="Times New Roman"/>
          <w:lang w:val="ro-RO"/>
        </w:rPr>
        <w:t>n str</w:t>
      </w:r>
      <w:r w:rsidR="00071C3B">
        <w:rPr>
          <w:rFonts w:ascii="Times New Roman" w:eastAsia="Times New Roman" w:hAnsi="Times New Roman" w:cs="Times New Roman"/>
          <w:lang w:val="ro-RO"/>
        </w:rPr>
        <w:t>â</w:t>
      </w:r>
      <w:r w:rsidR="0093465E" w:rsidRPr="00BC6F3C">
        <w:rPr>
          <w:rFonts w:ascii="Times New Roman" w:eastAsia="Times New Roman" w:hAnsi="Times New Roman" w:cs="Times New Roman"/>
          <w:lang w:val="ro-RO"/>
        </w:rPr>
        <w:t>ns</w:t>
      </w:r>
      <w:r w:rsidR="00071C3B">
        <w:rPr>
          <w:rFonts w:ascii="Times New Roman" w:eastAsia="Times New Roman" w:hAnsi="Times New Roman" w:cs="Times New Roman"/>
          <w:lang w:val="ro-RO"/>
        </w:rPr>
        <w:t>ă</w:t>
      </w:r>
      <w:r w:rsidR="0093465E" w:rsidRPr="00BC6F3C">
        <w:rPr>
          <w:rFonts w:ascii="Times New Roman" w:eastAsia="Times New Roman" w:hAnsi="Times New Roman" w:cs="Times New Roman"/>
          <w:lang w:val="ro-RO"/>
        </w:rPr>
        <w:t xml:space="preserve"> leg</w:t>
      </w:r>
      <w:r w:rsidR="003504C7">
        <w:rPr>
          <w:rFonts w:ascii="Times New Roman" w:eastAsia="Times New Roman" w:hAnsi="Times New Roman" w:cs="Times New Roman"/>
          <w:lang w:val="ro-RO"/>
        </w:rPr>
        <w:t>ătura cu mama.</w:t>
      </w:r>
    </w:p>
    <w:p w:rsidR="00BD66BF" w:rsidRDefault="00CA78CB" w:rsidP="0059330F">
      <w:pPr>
        <w:spacing w:after="0" w:line="240" w:lineRule="auto"/>
        <w:jc w:val="both"/>
        <w:rPr>
          <w:rStyle w:val="q4iawc"/>
          <w:rFonts w:ascii="Times New Roman" w:hAnsi="Times New Roman" w:cs="Times New Roman"/>
          <w:lang w:val="ro-RO"/>
        </w:rPr>
      </w:pPr>
      <w:r w:rsidRPr="00BC6F3C">
        <w:rPr>
          <w:rStyle w:val="q4iawc"/>
          <w:rFonts w:ascii="Times New Roman" w:hAnsi="Times New Roman" w:cs="Times New Roman"/>
          <w:b/>
          <w:lang w:val="ro-RO"/>
        </w:rPr>
        <w:t>LA NIVEL MONDIAL</w:t>
      </w:r>
      <w:r w:rsidRPr="00BC6F3C">
        <w:rPr>
          <w:rFonts w:ascii="Times New Roman" w:eastAsia="Times New Roman" w:hAnsi="Times New Roman" w:cs="Times New Roman"/>
          <w:lang w:val="ro-RO"/>
        </w:rPr>
        <w:t xml:space="preserve"> se înregistrează anual aprox. 777.000 de nașteri la fetele cu vârste mai mici de 15 ani, iar la adolescentele cu vârste între 15 și 19 ani, se înregistrează un număr de 10 milioane de </w:t>
      </w:r>
      <w:r w:rsidRPr="00BC6F3C">
        <w:rPr>
          <w:rFonts w:ascii="Times New Roman" w:eastAsia="Times New Roman" w:hAnsi="Times New Roman" w:cs="Times New Roman"/>
          <w:lang w:val="ro-RO"/>
        </w:rPr>
        <w:lastRenderedPageBreak/>
        <w:t xml:space="preserve">sarcini. </w:t>
      </w:r>
      <w:r w:rsidRPr="002C43E1">
        <w:rPr>
          <w:rStyle w:val="q4iawc"/>
          <w:rFonts w:ascii="Times New Roman" w:hAnsi="Times New Roman" w:cs="Times New Roman"/>
          <w:b/>
          <w:lang w:val="ro-RO"/>
        </w:rPr>
        <w:t>Din cele 5,6 milioane de avorturi estimate anual în rândul adolescentelor având vârste cuprinse între 15 și 19 ani, 3,9 milioane sunt la risc, contribuind la fenomenul de mortalitate maternă, morbiditate și problemele de sănătate de durată</w:t>
      </w:r>
      <w:r w:rsidRPr="0059330F">
        <w:rPr>
          <w:rStyle w:val="q4iawc"/>
          <w:rFonts w:ascii="Times New Roman" w:hAnsi="Times New Roman" w:cs="Times New Roman"/>
          <w:b/>
          <w:lang w:val="ro-RO"/>
        </w:rPr>
        <w:t>.</w:t>
      </w:r>
      <w:r w:rsidR="00BD66BF" w:rsidRPr="00BD66BF">
        <w:rPr>
          <w:rStyle w:val="FootnoteReference"/>
          <w:rFonts w:ascii="Times New Roman" w:hAnsi="Times New Roman" w:cs="Times New Roman"/>
          <w:lang w:val="ro-RO"/>
        </w:rPr>
        <w:footnoteReference w:id="1"/>
      </w:r>
      <w:r w:rsidRPr="00BD66BF">
        <w:rPr>
          <w:rStyle w:val="q4iawc"/>
          <w:rFonts w:ascii="Times New Roman" w:hAnsi="Times New Roman" w:cs="Times New Roman"/>
          <w:lang w:val="ro-RO"/>
        </w:rPr>
        <w:t xml:space="preserve"> </w:t>
      </w:r>
      <w:r w:rsidRPr="00BC6F3C">
        <w:rPr>
          <w:rStyle w:val="q4iawc"/>
          <w:rFonts w:ascii="Times New Roman" w:hAnsi="Times New Roman" w:cs="Times New Roman"/>
          <w:lang w:val="ro-RO"/>
        </w:rPr>
        <w:t xml:space="preserve"> </w:t>
      </w:r>
    </w:p>
    <w:p w:rsidR="0059330F" w:rsidRPr="00872EF9" w:rsidRDefault="00CA78CB" w:rsidP="0059330F">
      <w:pPr>
        <w:spacing w:after="0" w:line="240" w:lineRule="auto"/>
        <w:jc w:val="both"/>
        <w:rPr>
          <w:rFonts w:ascii="Times New Roman" w:hAnsi="Times New Roman" w:cs="Times New Roman"/>
        </w:rPr>
      </w:pPr>
      <w:r w:rsidRPr="00BC6F3C">
        <w:rPr>
          <w:rStyle w:val="q4iawc"/>
          <w:rFonts w:ascii="Times New Roman" w:hAnsi="Times New Roman" w:cs="Times New Roman"/>
          <w:lang w:val="ro-RO"/>
        </w:rPr>
        <w:t>Se estimează că 6 din 10 dintre toate sarcinile nedorite și 3 din 10  dintre toate sarcinile se finalizează cu avort  indus.  În fiecare an, aprox. 4,7–13,2% dintre decesele materne pot fi atribuite avortului la risc.</w:t>
      </w:r>
      <w:r w:rsidR="00BD66BF">
        <w:rPr>
          <w:rStyle w:val="FootnoteReference"/>
          <w:rFonts w:ascii="Times New Roman" w:hAnsi="Times New Roman" w:cs="Times New Roman"/>
          <w:lang w:val="ro-RO"/>
        </w:rPr>
        <w:footnoteReference w:id="2"/>
      </w:r>
      <w:r w:rsidR="00BD66BF">
        <w:rPr>
          <w:rStyle w:val="q4iawc"/>
          <w:rFonts w:ascii="Times New Roman" w:hAnsi="Times New Roman" w:cs="Times New Roman"/>
          <w:vertAlign w:val="superscript"/>
          <w:lang w:val="ro-RO"/>
        </w:rPr>
        <w:t>,</w:t>
      </w:r>
      <w:r w:rsidR="00BD66BF">
        <w:rPr>
          <w:rStyle w:val="FootnoteReference"/>
          <w:rFonts w:ascii="Times New Roman" w:hAnsi="Times New Roman" w:cs="Times New Roman"/>
          <w:lang w:val="ro-RO"/>
        </w:rPr>
        <w:footnoteReference w:id="3"/>
      </w:r>
      <w:r w:rsidRPr="00BC6F3C">
        <w:rPr>
          <w:rStyle w:val="q4iawc"/>
          <w:rFonts w:ascii="Times New Roman" w:hAnsi="Times New Roman" w:cs="Times New Roman"/>
          <w:lang w:val="ro-RO"/>
        </w:rPr>
        <w:t xml:space="preserve"> </w:t>
      </w:r>
    </w:p>
    <w:p w:rsidR="00CA78CB" w:rsidRPr="00430E73" w:rsidRDefault="00CA78CB" w:rsidP="0059330F">
      <w:pPr>
        <w:spacing w:after="0" w:line="240" w:lineRule="auto"/>
        <w:jc w:val="both"/>
        <w:rPr>
          <w:rStyle w:val="display-block"/>
          <w:rFonts w:ascii="Times New Roman" w:hAnsi="Times New Roman" w:cs="Times New Roman"/>
          <w:vertAlign w:val="superscript"/>
          <w:lang w:val="ro-RO"/>
        </w:rPr>
      </w:pPr>
      <w:r w:rsidRPr="00BC6F3C">
        <w:rPr>
          <w:rFonts w:ascii="Times New Roman" w:hAnsi="Times New Roman" w:cs="Times New Roman"/>
          <w:b/>
        </w:rPr>
        <w:t>În EUROPA</w:t>
      </w:r>
      <w:r w:rsidRPr="00BC6F3C">
        <w:rPr>
          <w:rStyle w:val="display-block"/>
          <w:rFonts w:ascii="Times New Roman" w:hAnsi="Times New Roman" w:cs="Times New Roman"/>
          <w:lang w:val="ro-RO"/>
        </w:rPr>
        <w:t xml:space="preserve">, în perioada 2011-2020, numărul de născuți vii provenind de la mame cu vârste între 10-14 ani, a scăzut cu aprox. 17%, în România scăderea fiind cu 2%. </w:t>
      </w:r>
      <w:r w:rsidR="00430E73">
        <w:rPr>
          <w:rStyle w:val="display-block"/>
          <w:rFonts w:ascii="Times New Roman" w:hAnsi="Times New Roman" w:cs="Times New Roman"/>
          <w:vertAlign w:val="superscript"/>
          <w:lang w:val="ro-RO"/>
        </w:rPr>
        <w:t>4</w:t>
      </w:r>
    </w:p>
    <w:p w:rsidR="00CA78CB" w:rsidRPr="00BC6F3C" w:rsidRDefault="00CA78CB" w:rsidP="0059330F">
      <w:pPr>
        <w:spacing w:after="0"/>
        <w:jc w:val="both"/>
        <w:rPr>
          <w:rFonts w:ascii="Helvetica" w:eastAsia="Times New Roman" w:hAnsi="Helvetica" w:cs="Helvetica"/>
          <w:color w:val="1D2228"/>
        </w:rPr>
      </w:pPr>
      <w:r w:rsidRPr="00BC6F3C">
        <w:rPr>
          <w:rFonts w:ascii="Times New Roman" w:eastAsia="Times New Roman" w:hAnsi="Times New Roman" w:cs="Times New Roman"/>
          <w:color w:val="1D2228"/>
        </w:rPr>
        <w:t>Un procent de aprox 44% din copiii născuți în UE din mame cu vârste mai mici de 15 ani, a fost înregistrat în România iar cei provenind din mame cu vârste intre 15-19 ani, a fost de aprox 19%.</w:t>
      </w:r>
      <w:r w:rsidRPr="00BC6F3C">
        <w:rPr>
          <w:rFonts w:ascii="Helvetica" w:eastAsia="Times New Roman" w:hAnsi="Helvetica" w:cs="Helvetica"/>
          <w:color w:val="1D2228"/>
        </w:rPr>
        <w:t xml:space="preserve"> </w:t>
      </w:r>
    </w:p>
    <w:p w:rsidR="00CA78CB" w:rsidRPr="00BC6F3C" w:rsidRDefault="00CA78CB" w:rsidP="00CA78CB">
      <w:pPr>
        <w:spacing w:after="0"/>
        <w:jc w:val="both"/>
        <w:rPr>
          <w:rFonts w:ascii="Times New Roman" w:eastAsiaTheme="minorEastAsia" w:hAnsi="Times New Roman" w:cs="Times New Roman"/>
          <w:lang w:val="ro-RO" w:eastAsia="ro-RO"/>
        </w:rPr>
      </w:pPr>
      <w:r w:rsidRPr="00BC6F3C">
        <w:rPr>
          <w:rFonts w:ascii="Times New Roman" w:eastAsiaTheme="minorEastAsia" w:hAnsi="Times New Roman" w:cs="Times New Roman"/>
          <w:lang w:val="ro-RO" w:eastAsia="ro-RO"/>
        </w:rPr>
        <w:t>1 din 2 născuți vii la adolescente 10-14 ani din UE se regăsește în România.</w:t>
      </w:r>
    </w:p>
    <w:p w:rsidR="00872EF9" w:rsidRPr="00BD66BF" w:rsidRDefault="00CA78CB" w:rsidP="00872EF9">
      <w:pPr>
        <w:shd w:val="clear" w:color="auto" w:fill="FFFFFF"/>
        <w:spacing w:after="0"/>
        <w:jc w:val="both"/>
        <w:rPr>
          <w:rFonts w:ascii="Times New Roman" w:hAnsi="Times New Roman" w:cs="Times New Roman"/>
          <w:sz w:val="20"/>
          <w:szCs w:val="20"/>
          <w:vertAlign w:val="superscript"/>
        </w:rPr>
      </w:pPr>
      <w:r w:rsidRPr="00BC6F3C">
        <w:rPr>
          <w:rFonts w:ascii="Times New Roman" w:eastAsiaTheme="minorEastAsia" w:hAnsi="Times New Roman" w:cs="Times New Roman"/>
          <w:lang w:val="ro-RO" w:eastAsia="ro-RO"/>
        </w:rPr>
        <w:t>1 din 5 născuți vii la adolescente 15-19 ani din UE se regăsește în România.</w:t>
      </w:r>
      <w:r w:rsidR="00BD66BF">
        <w:rPr>
          <w:rStyle w:val="FootnoteReference"/>
          <w:rFonts w:ascii="Times New Roman" w:eastAsiaTheme="minorEastAsia" w:hAnsi="Times New Roman" w:cs="Times New Roman"/>
          <w:lang w:val="ro-RO" w:eastAsia="ro-RO"/>
        </w:rPr>
        <w:footnoteReference w:id="4"/>
      </w:r>
      <w:r w:rsidR="00BD66BF">
        <w:rPr>
          <w:rFonts w:ascii="Times New Roman" w:eastAsiaTheme="minorEastAsia" w:hAnsi="Times New Roman" w:cs="Times New Roman"/>
          <w:vertAlign w:val="superscript"/>
          <w:lang w:val="ro-RO" w:eastAsia="ro-RO"/>
        </w:rPr>
        <w:t>,</w:t>
      </w:r>
      <w:r w:rsidR="00BD66BF">
        <w:rPr>
          <w:rStyle w:val="FootnoteReference"/>
          <w:rFonts w:ascii="Times New Roman" w:eastAsiaTheme="minorEastAsia" w:hAnsi="Times New Roman" w:cs="Times New Roman"/>
          <w:lang w:val="ro-RO" w:eastAsia="ro-RO"/>
        </w:rPr>
        <w:footnoteReference w:id="5"/>
      </w:r>
    </w:p>
    <w:p w:rsidR="00CA78CB" w:rsidRPr="00BC6F3C" w:rsidRDefault="00CA78CB" w:rsidP="00CA78CB">
      <w:pPr>
        <w:spacing w:after="0"/>
        <w:jc w:val="both"/>
        <w:rPr>
          <w:rFonts w:ascii="Times New Roman" w:eastAsia="Arial" w:hAnsi="Times New Roman" w:cs="Times New Roman"/>
        </w:rPr>
      </w:pPr>
      <w:r w:rsidRPr="00BC6F3C">
        <w:rPr>
          <w:rStyle w:val="q4iawc"/>
          <w:rFonts w:ascii="Times New Roman" w:eastAsia="Times New Roman" w:hAnsi="Times New Roman" w:cs="Times New Roman"/>
          <w:b/>
        </w:rPr>
        <w:t>În ROMÂNIA</w:t>
      </w:r>
      <w:r w:rsidRPr="00BC6F3C">
        <w:rPr>
          <w:rFonts w:ascii="Times New Roman" w:eastAsia="Arial" w:hAnsi="Times New Roman" w:cs="Times New Roman"/>
          <w:b/>
        </w:rPr>
        <w:t xml:space="preserve">, </w:t>
      </w:r>
      <w:r w:rsidRPr="00BC6F3C">
        <w:rPr>
          <w:rFonts w:ascii="Times New Roman" w:eastAsia="Arial" w:hAnsi="Times New Roman" w:cs="Times New Roman"/>
        </w:rPr>
        <w:t xml:space="preserve">rata natalității înregistrate  la fetele cu vârste între  10-14 ani este de 8,5 ori mai mare decât media UE, iar  la fetele cu vârste între  15 -19 ani, este de 3,4 ori mai mare decât media UE. </w:t>
      </w:r>
    </w:p>
    <w:p w:rsidR="00CA78CB" w:rsidRPr="00B96E60" w:rsidRDefault="00B96E60" w:rsidP="00B96E60">
      <w:pPr>
        <w:spacing w:after="0"/>
        <w:ind w:left="360"/>
        <w:jc w:val="both"/>
        <w:rPr>
          <w:rFonts w:ascii="Times New Roman" w:eastAsia="Arial" w:hAnsi="Times New Roman" w:cs="Times New Roman"/>
        </w:rPr>
      </w:pPr>
      <w:r>
        <w:rPr>
          <w:rFonts w:ascii="Times New Roman" w:eastAsia="Arial" w:hAnsi="Times New Roman" w:cs="Times New Roman"/>
        </w:rPr>
        <w:t>-</w:t>
      </w:r>
      <w:r w:rsidR="00CA78CB" w:rsidRPr="00B96E60">
        <w:rPr>
          <w:rFonts w:ascii="Times New Roman" w:eastAsia="Arial" w:hAnsi="Times New Roman" w:cs="Times New Roman"/>
        </w:rPr>
        <w:t>1 din 10 copii din România este născut de o mamă adolescentă.</w:t>
      </w:r>
    </w:p>
    <w:p w:rsidR="00872EF9" w:rsidRPr="00B96E60" w:rsidRDefault="00B96E60" w:rsidP="00B96E60">
      <w:pPr>
        <w:tabs>
          <w:tab w:val="left" w:pos="0"/>
        </w:tabs>
        <w:spacing w:after="0" w:line="271" w:lineRule="auto"/>
        <w:ind w:left="360"/>
        <w:jc w:val="both"/>
        <w:rPr>
          <w:rFonts w:ascii="Times New Roman" w:hAnsi="Times New Roman" w:cs="Times New Roman"/>
          <w:sz w:val="20"/>
          <w:szCs w:val="20"/>
        </w:rPr>
      </w:pPr>
      <w:r>
        <w:rPr>
          <w:rFonts w:ascii="Times New Roman" w:eastAsia="Arial" w:hAnsi="Times New Roman" w:cs="Times New Roman"/>
        </w:rPr>
        <w:t>-</w:t>
      </w:r>
      <w:r w:rsidR="00CA78CB" w:rsidRPr="00B96E60">
        <w:rPr>
          <w:rFonts w:ascii="Times New Roman" w:eastAsia="Arial" w:hAnsi="Times New Roman" w:cs="Times New Roman"/>
        </w:rPr>
        <w:t>1 din 6 adolescente care a avut un copil înainte de 15 ani, va avea al doilea copil înainte de 18 ani.</w:t>
      </w:r>
      <w:r w:rsidR="00872EF9" w:rsidRPr="00872EF9">
        <w:t xml:space="preserve"> </w:t>
      </w:r>
      <w:r w:rsidR="00BD66BF">
        <w:rPr>
          <w:rStyle w:val="FootnoteReference"/>
        </w:rPr>
        <w:footnoteReference w:id="6"/>
      </w:r>
      <w:r w:rsidR="00BD66BF">
        <w:t xml:space="preserve"> </w:t>
      </w:r>
    </w:p>
    <w:p w:rsidR="0093465E" w:rsidRPr="00CB5E01" w:rsidRDefault="0093465E" w:rsidP="0093465E">
      <w:pPr>
        <w:spacing w:after="0"/>
        <w:rPr>
          <w:rFonts w:ascii="Times New Roman" w:hAnsi="Times New Roman" w:cs="Times New Roman"/>
          <w:b/>
          <w:sz w:val="24"/>
          <w:szCs w:val="24"/>
        </w:rPr>
      </w:pPr>
      <w:r w:rsidRPr="00CB5E01">
        <w:rPr>
          <w:rFonts w:ascii="Times New Roman" w:hAnsi="Times New Roman" w:cs="Times New Roman"/>
          <w:b/>
          <w:sz w:val="24"/>
          <w:szCs w:val="24"/>
        </w:rPr>
        <w:t>C</w:t>
      </w:r>
      <w:r w:rsidR="00022895">
        <w:rPr>
          <w:rFonts w:ascii="Times New Roman" w:hAnsi="Times New Roman" w:cs="Times New Roman"/>
          <w:b/>
          <w:sz w:val="24"/>
          <w:szCs w:val="24"/>
        </w:rPr>
        <w:t>OMPORTAMENTUL SEXUAL ȘI REPRODUCTIV</w:t>
      </w:r>
    </w:p>
    <w:p w:rsidR="0093465E" w:rsidRPr="00CB5E01" w:rsidRDefault="0093465E" w:rsidP="0093465E">
      <w:pPr>
        <w:spacing w:after="0"/>
        <w:rPr>
          <w:rFonts w:ascii="Times New Roman" w:hAnsi="Times New Roman" w:cs="Times New Roman"/>
          <w:b/>
          <w:sz w:val="24"/>
          <w:szCs w:val="24"/>
        </w:rPr>
      </w:pPr>
      <w:r w:rsidRPr="00CB5E01">
        <w:rPr>
          <w:rFonts w:ascii="Times New Roman" w:hAnsi="Times New Roman" w:cs="Times New Roman"/>
          <w:b/>
          <w:sz w:val="24"/>
          <w:szCs w:val="24"/>
        </w:rPr>
        <w:t xml:space="preserve">Date statistice la nivel european, național și județean privind nivelul și dinamica </w:t>
      </w:r>
      <w:r w:rsidR="00BD66BF">
        <w:rPr>
          <w:rFonts w:ascii="Times New Roman" w:hAnsi="Times New Roman" w:cs="Times New Roman"/>
          <w:b/>
          <w:sz w:val="24"/>
          <w:szCs w:val="24"/>
        </w:rPr>
        <w:t>f</w:t>
      </w:r>
      <w:r w:rsidRPr="00CB5E01">
        <w:rPr>
          <w:rFonts w:ascii="Times New Roman" w:hAnsi="Times New Roman" w:cs="Times New Roman"/>
          <w:b/>
          <w:sz w:val="24"/>
          <w:szCs w:val="24"/>
        </w:rPr>
        <w:t>enomenului</w:t>
      </w:r>
    </w:p>
    <w:p w:rsidR="0093465E" w:rsidRPr="00733F32" w:rsidRDefault="0093465E" w:rsidP="0093465E">
      <w:pPr>
        <w:spacing w:after="0"/>
        <w:rPr>
          <w:rFonts w:ascii="Times New Roman" w:hAnsi="Times New Roman" w:cs="Times New Roman"/>
          <w:b/>
          <w:sz w:val="24"/>
          <w:szCs w:val="24"/>
          <w:u w:val="single"/>
        </w:rPr>
      </w:pPr>
      <w:r w:rsidRPr="00733F32">
        <w:rPr>
          <w:rFonts w:ascii="Times New Roman" w:hAnsi="Times New Roman" w:cs="Times New Roman"/>
          <w:b/>
          <w:sz w:val="24"/>
          <w:szCs w:val="24"/>
          <w:u w:val="single"/>
        </w:rPr>
        <w:t>La nivel European</w:t>
      </w:r>
    </w:p>
    <w:p w:rsidR="0093465E" w:rsidRPr="00933AA4" w:rsidRDefault="0093465E" w:rsidP="0093465E">
      <w:pPr>
        <w:spacing w:after="0"/>
        <w:rPr>
          <w:rFonts w:ascii="Times New Roman" w:hAnsi="Times New Roman" w:cs="Times New Roman"/>
          <w:b/>
          <w:i/>
          <w:u w:val="single"/>
        </w:rPr>
      </w:pPr>
      <w:r w:rsidRPr="00933AA4">
        <w:rPr>
          <w:rFonts w:ascii="Times New Roman" w:hAnsi="Times New Roman" w:cs="Times New Roman"/>
          <w:b/>
          <w:i/>
          <w:u w:val="single"/>
        </w:rPr>
        <w:t>Natalitate</w:t>
      </w:r>
    </w:p>
    <w:p w:rsidR="004D7FFB" w:rsidRPr="00BC6F3C" w:rsidRDefault="004D7FFB" w:rsidP="004D7FFB">
      <w:pPr>
        <w:spacing w:after="0"/>
        <w:rPr>
          <w:rFonts w:ascii="Times New Roman" w:eastAsia="Times New Roman" w:hAnsi="Times New Roman" w:cs="Times New Roman"/>
          <w:b/>
          <w:lang w:val="fr-FR"/>
        </w:rPr>
      </w:pPr>
      <w:r w:rsidRPr="00CB5E01">
        <w:rPr>
          <w:rStyle w:val="Hyperlink"/>
          <w:rFonts w:ascii="Times New Roman" w:hAnsi="Times New Roman" w:cs="Times New Roman"/>
          <w:b/>
          <w:color w:val="auto"/>
          <w:u w:val="none"/>
          <w:lang w:val="fr-FR"/>
        </w:rPr>
        <w:t xml:space="preserve">Figura 1. </w:t>
      </w:r>
      <w:r w:rsidRPr="00BC6F3C">
        <w:rPr>
          <w:rFonts w:ascii="Times New Roman" w:eastAsia="Times New Roman" w:hAnsi="Times New Roman" w:cs="Times New Roman"/>
          <w:b/>
          <w:lang w:val="fr-FR"/>
        </w:rPr>
        <w:t>Rata brută de natalitate UE,</w:t>
      </w:r>
      <w:r w:rsidR="00BC6F3C" w:rsidRPr="00BC6F3C">
        <w:rPr>
          <w:rFonts w:ascii="Times New Roman" w:eastAsia="Times New Roman" w:hAnsi="Times New Roman" w:cs="Times New Roman"/>
          <w:b/>
          <w:lang w:val="fr-FR"/>
        </w:rPr>
        <w:t xml:space="preserve"> </w:t>
      </w:r>
      <w:r w:rsidRPr="00BC6F3C">
        <w:rPr>
          <w:rFonts w:ascii="Times New Roman" w:eastAsia="Times New Roman" w:hAnsi="Times New Roman" w:cs="Times New Roman"/>
          <w:b/>
          <w:lang w:val="fr-FR"/>
        </w:rPr>
        <w:t>201</w:t>
      </w:r>
      <w:r w:rsidR="00BC6F3C" w:rsidRPr="00BC6F3C">
        <w:rPr>
          <w:rFonts w:ascii="Times New Roman" w:eastAsia="Times New Roman" w:hAnsi="Times New Roman" w:cs="Times New Roman"/>
          <w:b/>
          <w:lang w:val="fr-FR"/>
        </w:rPr>
        <w:t>1</w:t>
      </w:r>
      <w:r w:rsidRPr="00BC6F3C">
        <w:rPr>
          <w:rFonts w:ascii="Times New Roman" w:eastAsia="Times New Roman" w:hAnsi="Times New Roman" w:cs="Times New Roman"/>
          <w:b/>
          <w:lang w:val="fr-FR"/>
        </w:rPr>
        <w:t xml:space="preserve"> </w:t>
      </w:r>
      <w:r w:rsidR="007562D0">
        <w:rPr>
          <w:rFonts w:ascii="Times New Roman" w:eastAsia="Times New Roman" w:hAnsi="Times New Roman" w:cs="Times New Roman"/>
          <w:b/>
          <w:lang w:val="fr-FR"/>
        </w:rPr>
        <w:t>ș</w:t>
      </w:r>
      <w:r w:rsidRPr="00BC6F3C">
        <w:rPr>
          <w:rFonts w:ascii="Times New Roman" w:eastAsia="Times New Roman" w:hAnsi="Times New Roman" w:cs="Times New Roman"/>
          <w:b/>
          <w:lang w:val="fr-FR"/>
        </w:rPr>
        <w:t>i 2021</w:t>
      </w:r>
      <w:r w:rsidR="00E2606C">
        <w:rPr>
          <w:rFonts w:ascii="Times New Roman" w:eastAsia="Times New Roman" w:hAnsi="Times New Roman" w:cs="Times New Roman"/>
          <w:b/>
          <w:lang w:val="fr-FR"/>
        </w:rPr>
        <w:t>-</w:t>
      </w:r>
      <w:r w:rsidR="007562D0">
        <w:rPr>
          <w:rFonts w:ascii="Times New Roman" w:eastAsia="Times New Roman" w:hAnsi="Times New Roman" w:cs="Times New Roman"/>
          <w:b/>
          <w:lang w:val="fr-FR"/>
        </w:rPr>
        <w:t xml:space="preserve"> </w:t>
      </w:r>
      <w:r w:rsidR="00E2606C" w:rsidRPr="00BC6F3C">
        <w:rPr>
          <w:rFonts w:ascii="Times New Roman" w:eastAsia="Times New Roman" w:hAnsi="Times New Roman" w:cs="Times New Roman"/>
          <w:b/>
          <w:lang w:val="fr-FR"/>
        </w:rPr>
        <w:t xml:space="preserve">primele 10 țări </w:t>
      </w:r>
      <w:r w:rsidR="007562D0" w:rsidRPr="00BC6F3C">
        <w:rPr>
          <w:rFonts w:ascii="Times New Roman" w:eastAsia="Times New Roman" w:hAnsi="Times New Roman" w:cs="Times New Roman"/>
          <w:b/>
          <w:lang w:val="fr-FR"/>
        </w:rPr>
        <w:t>(‰ locuitori),</w:t>
      </w:r>
    </w:p>
    <w:p w:rsidR="0093465E" w:rsidRDefault="00BC6F3C" w:rsidP="0093465E">
      <w:pPr>
        <w:spacing w:after="0"/>
        <w:rPr>
          <w:rFonts w:ascii="Times New Roman" w:hAnsi="Times New Roman" w:cs="Times New Roman"/>
          <w:sz w:val="28"/>
          <w:szCs w:val="28"/>
        </w:rPr>
      </w:pPr>
      <w:r w:rsidRPr="009A1D6D">
        <w:rPr>
          <w:rFonts w:ascii="Times New Roman" w:hAnsi="Times New Roman" w:cs="Times New Roman"/>
          <w:noProof/>
        </w:rPr>
        <w:drawing>
          <wp:inline distT="0" distB="0" distL="0" distR="0" wp14:anchorId="1555F75D" wp14:editId="1DFF6C6D">
            <wp:extent cx="5943600" cy="10287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D7FFB" w:rsidRPr="00F0636E" w:rsidRDefault="004D7FFB" w:rsidP="004D7FFB">
      <w:pPr>
        <w:spacing w:after="0"/>
        <w:rPr>
          <w:rFonts w:ascii="Times New Roman" w:eastAsia="Times New Roman" w:hAnsi="Times New Roman" w:cs="Times New Roman"/>
          <w:sz w:val="20"/>
          <w:szCs w:val="20"/>
          <w:lang w:val="fr-FR"/>
        </w:rPr>
      </w:pPr>
      <w:r w:rsidRPr="00F0636E">
        <w:rPr>
          <w:rFonts w:ascii="Times New Roman" w:eastAsia="Times New Roman" w:hAnsi="Times New Roman" w:cs="Times New Roman"/>
          <w:sz w:val="20"/>
          <w:szCs w:val="20"/>
          <w:lang w:val="fr-FR"/>
        </w:rPr>
        <w:t xml:space="preserve">Sursa: </w:t>
      </w:r>
      <w:hyperlink r:id="rId9" w:history="1">
        <w:r w:rsidRPr="00F0636E">
          <w:rPr>
            <w:rStyle w:val="Hyperlink"/>
            <w:rFonts w:ascii="Times New Roman" w:eastAsia="Times New Roman" w:hAnsi="Times New Roman" w:cs="Times New Roman"/>
            <w:sz w:val="20"/>
            <w:szCs w:val="20"/>
            <w:lang w:val="fr-FR"/>
          </w:rPr>
          <w:t>https://ec.europa.eu/eurostat/databrowser/view/tps00204/default/table?lang=en</w:t>
        </w:r>
      </w:hyperlink>
      <w:r w:rsidR="00BD66BF">
        <w:rPr>
          <w:rStyle w:val="FootnoteReference"/>
          <w:rFonts w:ascii="Times New Roman" w:eastAsia="Times New Roman" w:hAnsi="Times New Roman" w:cs="Times New Roman"/>
          <w:color w:val="0000FF"/>
          <w:sz w:val="20"/>
          <w:szCs w:val="20"/>
          <w:u w:val="single"/>
          <w:lang w:val="fr-FR"/>
        </w:rPr>
        <w:footnoteReference w:id="7"/>
      </w:r>
    </w:p>
    <w:p w:rsidR="00BC6F3C" w:rsidRPr="00D25E4B" w:rsidRDefault="00BC6F3C" w:rsidP="00BC6F3C">
      <w:pPr>
        <w:shd w:val="clear" w:color="auto" w:fill="FFFFFF"/>
        <w:spacing w:after="0"/>
        <w:rPr>
          <w:rStyle w:val="Hyperlink"/>
          <w:rFonts w:ascii="Times New Roman" w:hAnsi="Times New Roman" w:cs="Times New Roman"/>
          <w:lang w:val="ro-RO"/>
        </w:rPr>
      </w:pPr>
      <w:r>
        <w:rPr>
          <w:rFonts w:ascii="Times New Roman" w:hAnsi="Times New Roman" w:cs="Times New Roman"/>
          <w:lang w:val="ro-RO"/>
        </w:rPr>
        <w:t>Ratele de natalitate</w:t>
      </w:r>
      <w:r w:rsidR="004F4860">
        <w:rPr>
          <w:rFonts w:ascii="Times New Roman" w:hAnsi="Times New Roman" w:cs="Times New Roman"/>
          <w:lang w:val="ro-RO"/>
        </w:rPr>
        <w:t xml:space="preserve"> în țările din UE</w:t>
      </w:r>
      <w:r>
        <w:rPr>
          <w:rFonts w:ascii="Times New Roman" w:hAnsi="Times New Roman" w:cs="Times New Roman"/>
          <w:lang w:val="ro-RO"/>
        </w:rPr>
        <w:t xml:space="preserve"> au înregistra</w:t>
      </w:r>
      <w:r w:rsidR="004F4860">
        <w:rPr>
          <w:rFonts w:ascii="Times New Roman" w:hAnsi="Times New Roman" w:cs="Times New Roman"/>
          <w:lang w:val="ro-RO"/>
        </w:rPr>
        <w:t>t scăderi în 2021 față de 2011, cu aproximativ 28</w:t>
      </w:r>
      <w:r w:rsidR="002851EF">
        <w:rPr>
          <w:rFonts w:ascii="Times New Roman" w:hAnsi="Times New Roman" w:cs="Times New Roman"/>
          <w:lang w:val="ro-RO"/>
        </w:rPr>
        <w:t>.</w:t>
      </w:r>
      <w:r w:rsidR="004F4860">
        <w:rPr>
          <w:rFonts w:ascii="Times New Roman" w:hAnsi="Times New Roman" w:cs="Times New Roman"/>
          <w:lang w:val="ro-RO"/>
        </w:rPr>
        <w:t>4% (Irlanda), 14</w:t>
      </w:r>
      <w:r w:rsidR="002851EF">
        <w:rPr>
          <w:rFonts w:ascii="Times New Roman" w:hAnsi="Times New Roman" w:cs="Times New Roman"/>
          <w:lang w:val="ro-RO"/>
        </w:rPr>
        <w:t>.7% (Franța), 6.</w:t>
      </w:r>
      <w:r w:rsidR="004F4860">
        <w:rPr>
          <w:rFonts w:ascii="Times New Roman" w:hAnsi="Times New Roman" w:cs="Times New Roman"/>
          <w:lang w:val="ro-RO"/>
        </w:rPr>
        <w:t>8% (Suedia), 4</w:t>
      </w:r>
      <w:r w:rsidR="002851EF">
        <w:rPr>
          <w:rFonts w:ascii="Times New Roman" w:hAnsi="Times New Roman" w:cs="Times New Roman"/>
          <w:lang w:val="ro-RO"/>
        </w:rPr>
        <w:t>.</w:t>
      </w:r>
      <w:r w:rsidR="004F4860">
        <w:rPr>
          <w:rFonts w:ascii="Times New Roman" w:hAnsi="Times New Roman" w:cs="Times New Roman"/>
          <w:lang w:val="ro-RO"/>
        </w:rPr>
        <w:t>12% (România).</w:t>
      </w:r>
      <w:r w:rsidRPr="00D25E4B">
        <w:rPr>
          <w:rFonts w:ascii="Times New Roman" w:hAnsi="Times New Roman" w:cs="Times New Roman"/>
          <w:lang w:val="ro-RO"/>
        </w:rPr>
        <w:t xml:space="preserve"> </w:t>
      </w:r>
    </w:p>
    <w:p w:rsidR="00733F32" w:rsidRPr="00BC6F3C" w:rsidRDefault="004D7FFB" w:rsidP="004D7FFB">
      <w:pPr>
        <w:spacing w:after="0"/>
        <w:rPr>
          <w:rFonts w:ascii="Times New Roman" w:eastAsia="Times New Roman" w:hAnsi="Times New Roman" w:cs="Times New Roman"/>
          <w:b/>
          <w:lang w:val="fr-FR"/>
        </w:rPr>
      </w:pPr>
      <w:r w:rsidRPr="00BC6F3C">
        <w:rPr>
          <w:rFonts w:ascii="Times New Roman" w:eastAsia="Times New Roman" w:hAnsi="Times New Roman" w:cs="Times New Roman"/>
          <w:b/>
          <w:lang w:val="fr-FR"/>
        </w:rPr>
        <w:t>Figura 2. Natalitatea brută în UE</w:t>
      </w:r>
      <w:r w:rsidR="00FF6654">
        <w:rPr>
          <w:rFonts w:ascii="Times New Roman" w:eastAsia="Times New Roman" w:hAnsi="Times New Roman" w:cs="Times New Roman"/>
          <w:b/>
          <w:lang w:val="fr-FR"/>
        </w:rPr>
        <w:t xml:space="preserve"> și  </w:t>
      </w:r>
      <w:r w:rsidR="00FF6654" w:rsidRPr="00BC6F3C">
        <w:rPr>
          <w:rFonts w:ascii="Times New Roman" w:eastAsia="Times New Roman" w:hAnsi="Times New Roman" w:cs="Times New Roman"/>
          <w:b/>
          <w:lang w:val="fr-FR"/>
        </w:rPr>
        <w:t>România</w:t>
      </w:r>
      <w:r w:rsidR="00FF6654">
        <w:rPr>
          <w:rFonts w:ascii="Times New Roman" w:eastAsia="Times New Roman" w:hAnsi="Times New Roman" w:cs="Times New Roman"/>
          <w:b/>
          <w:lang w:val="fr-FR"/>
        </w:rPr>
        <w:t xml:space="preserve"> </w:t>
      </w:r>
      <w:r w:rsidRPr="00BC6F3C">
        <w:rPr>
          <w:rFonts w:ascii="Times New Roman" w:eastAsia="Times New Roman" w:hAnsi="Times New Roman" w:cs="Times New Roman"/>
          <w:b/>
          <w:lang w:val="fr-FR"/>
        </w:rPr>
        <w:t xml:space="preserve">, în perioada 2012-2021 (‰  locuitori) </w:t>
      </w:r>
    </w:p>
    <w:p w:rsidR="004D7FFB" w:rsidRDefault="00926DCA" w:rsidP="0093465E">
      <w:pPr>
        <w:spacing w:after="0"/>
        <w:rPr>
          <w:rFonts w:ascii="Times New Roman" w:hAnsi="Times New Roman" w:cs="Times New Roman"/>
          <w:sz w:val="28"/>
          <w:szCs w:val="28"/>
        </w:rPr>
      </w:pPr>
      <w:r w:rsidRPr="009A1D6D">
        <w:rPr>
          <w:rFonts w:ascii="Times New Roman" w:hAnsi="Times New Roman" w:cs="Times New Roman"/>
          <w:b/>
          <w:noProof/>
        </w:rPr>
        <w:drawing>
          <wp:inline distT="0" distB="0" distL="0" distR="0" wp14:anchorId="5BF415BB" wp14:editId="3DF280D9">
            <wp:extent cx="6000750" cy="1038225"/>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D7FFB" w:rsidRPr="00BD66BF" w:rsidRDefault="004D7FFB" w:rsidP="007F172A">
      <w:pPr>
        <w:spacing w:after="0" w:line="240" w:lineRule="auto"/>
        <w:rPr>
          <w:rFonts w:ascii="Times New Roman" w:eastAsia="ArialMT" w:hAnsi="Times New Roman" w:cs="Times New Roman"/>
          <w:color w:val="0000FF"/>
          <w:sz w:val="20"/>
          <w:szCs w:val="20"/>
          <w:vertAlign w:val="superscript"/>
          <w:lang w:val="fr-FR"/>
        </w:rPr>
      </w:pPr>
      <w:r w:rsidRPr="00722B01">
        <w:rPr>
          <w:rFonts w:ascii="Times New Roman" w:eastAsia="ArialMT" w:hAnsi="Times New Roman" w:cs="Times New Roman"/>
          <w:sz w:val="20"/>
          <w:szCs w:val="20"/>
          <w:lang w:val="fr-FR"/>
        </w:rPr>
        <w:lastRenderedPageBreak/>
        <w:t xml:space="preserve">Sursa: </w:t>
      </w:r>
      <w:hyperlink r:id="rId11" w:history="1">
        <w:r w:rsidRPr="00722B01">
          <w:rPr>
            <w:rStyle w:val="Hyperlink"/>
            <w:rFonts w:ascii="Times New Roman" w:eastAsia="ArialMT" w:hAnsi="Times New Roman" w:cs="Times New Roman"/>
            <w:sz w:val="20"/>
            <w:szCs w:val="20"/>
            <w:lang w:val="fr-FR"/>
          </w:rPr>
          <w:t>https://ec.europa.eu/eurostat/databrowser/view/tps00204/default/table?lang=en</w:t>
        </w:r>
      </w:hyperlink>
      <w:r w:rsidR="00BD66BF">
        <w:rPr>
          <w:rStyle w:val="Hyperlink"/>
          <w:rFonts w:ascii="Times New Roman" w:eastAsia="ArialMT" w:hAnsi="Times New Roman" w:cs="Times New Roman"/>
          <w:sz w:val="20"/>
          <w:szCs w:val="20"/>
          <w:vertAlign w:val="superscript"/>
          <w:lang w:val="fr-FR"/>
        </w:rPr>
        <w:t>7</w:t>
      </w:r>
    </w:p>
    <w:p w:rsidR="00BC6F3C" w:rsidRDefault="00BC6F3C" w:rsidP="00BC6F3C">
      <w:pPr>
        <w:spacing w:after="0" w:line="240" w:lineRule="auto"/>
        <w:rPr>
          <w:rFonts w:ascii="Times New Roman" w:eastAsia="ArialMT" w:hAnsi="Times New Roman" w:cs="Times New Roman"/>
          <w:lang w:val="fr-FR"/>
        </w:rPr>
      </w:pPr>
      <w:r w:rsidRPr="009A1D6D">
        <w:rPr>
          <w:rFonts w:ascii="Times New Roman" w:eastAsia="ArialMT" w:hAnsi="Times New Roman" w:cs="Times New Roman"/>
          <w:lang w:val="fr-FR"/>
        </w:rPr>
        <w:t>În perioada 201</w:t>
      </w:r>
      <w:r>
        <w:rPr>
          <w:rFonts w:ascii="Times New Roman" w:eastAsia="ArialMT" w:hAnsi="Times New Roman" w:cs="Times New Roman"/>
          <w:lang w:val="fr-FR"/>
        </w:rPr>
        <w:t>1</w:t>
      </w:r>
      <w:r w:rsidRPr="009A1D6D">
        <w:rPr>
          <w:rFonts w:ascii="Times New Roman" w:eastAsia="ArialMT" w:hAnsi="Times New Roman" w:cs="Times New Roman"/>
          <w:lang w:val="fr-FR"/>
        </w:rPr>
        <w:t>-202</w:t>
      </w:r>
      <w:r>
        <w:rPr>
          <w:rFonts w:ascii="Times New Roman" w:eastAsia="ArialMT" w:hAnsi="Times New Roman" w:cs="Times New Roman"/>
          <w:lang w:val="fr-FR"/>
        </w:rPr>
        <w:t>1</w:t>
      </w:r>
      <w:r w:rsidRPr="009A1D6D">
        <w:rPr>
          <w:rFonts w:ascii="Times New Roman" w:eastAsia="ArialMT" w:hAnsi="Times New Roman" w:cs="Times New Roman"/>
          <w:lang w:val="fr-FR"/>
        </w:rPr>
        <w:t xml:space="preserve">, </w:t>
      </w:r>
      <w:r w:rsidR="004C4E16">
        <w:rPr>
          <w:rFonts w:ascii="Times New Roman" w:eastAsia="ArialMT" w:hAnsi="Times New Roman" w:cs="Times New Roman"/>
          <w:lang w:val="fr-FR"/>
        </w:rPr>
        <w:t xml:space="preserve">atât în </w:t>
      </w:r>
      <w:r w:rsidRPr="009A1D6D">
        <w:rPr>
          <w:rFonts w:ascii="Times New Roman" w:eastAsia="ArialMT" w:hAnsi="Times New Roman" w:cs="Times New Roman"/>
          <w:lang w:val="fr-FR"/>
        </w:rPr>
        <w:t>UE,</w:t>
      </w:r>
      <w:r w:rsidR="00035D7F">
        <w:rPr>
          <w:rFonts w:ascii="Times New Roman" w:eastAsia="ArialMT" w:hAnsi="Times New Roman" w:cs="Times New Roman"/>
          <w:lang w:val="fr-FR"/>
        </w:rPr>
        <w:t xml:space="preserve"> </w:t>
      </w:r>
      <w:r w:rsidR="004C4E16">
        <w:rPr>
          <w:rFonts w:ascii="Times New Roman" w:eastAsia="ArialMT" w:hAnsi="Times New Roman" w:cs="Times New Roman"/>
          <w:lang w:val="fr-FR"/>
        </w:rPr>
        <w:t>cât și în România,</w:t>
      </w:r>
      <w:r w:rsidRPr="009A1D6D">
        <w:rPr>
          <w:rFonts w:ascii="Times New Roman" w:eastAsia="ArialMT" w:hAnsi="Times New Roman" w:cs="Times New Roman"/>
          <w:lang w:val="fr-FR"/>
        </w:rPr>
        <w:t xml:space="preserve"> ratele de natalitate </w:t>
      </w:r>
      <w:r>
        <w:rPr>
          <w:rFonts w:ascii="Times New Roman" w:eastAsia="ArialMT" w:hAnsi="Times New Roman" w:cs="Times New Roman"/>
          <w:lang w:val="fr-FR"/>
        </w:rPr>
        <w:t>brută</w:t>
      </w:r>
      <w:r w:rsidRPr="009A1D6D">
        <w:rPr>
          <w:rFonts w:ascii="Times New Roman" w:eastAsia="ArialMT" w:hAnsi="Times New Roman" w:cs="Times New Roman"/>
          <w:lang w:val="fr-FR"/>
        </w:rPr>
        <w:t xml:space="preserve"> au înregistrat o scădere progresivă, de la 10</w:t>
      </w:r>
      <w:r>
        <w:rPr>
          <w:rFonts w:ascii="Times New Roman" w:eastAsia="ArialMT" w:hAnsi="Times New Roman" w:cs="Times New Roman"/>
          <w:lang w:val="fr-FR"/>
        </w:rPr>
        <w:t>.1</w:t>
      </w:r>
      <w:r w:rsidRPr="009A1D6D">
        <w:rPr>
          <w:rStyle w:val="display-block"/>
          <w:rFonts w:ascii="Times New Roman" w:hAnsi="Times New Roman" w:cs="Times New Roman"/>
          <w:lang w:val="ro-RO"/>
        </w:rPr>
        <w:t>‰</w:t>
      </w:r>
      <w:r w:rsidRPr="009A1D6D">
        <w:rPr>
          <w:rFonts w:ascii="Times New Roman" w:eastAsia="ArialMT" w:hAnsi="Times New Roman" w:cs="Times New Roman"/>
          <w:lang w:val="fr-FR"/>
        </w:rPr>
        <w:t xml:space="preserve"> la 9</w:t>
      </w:r>
      <w:r>
        <w:rPr>
          <w:rFonts w:ascii="Times New Roman" w:eastAsia="ArialMT" w:hAnsi="Times New Roman" w:cs="Times New Roman"/>
          <w:lang w:val="fr-FR"/>
        </w:rPr>
        <w:t>.</w:t>
      </w:r>
      <w:r w:rsidRPr="009A1D6D">
        <w:rPr>
          <w:rFonts w:ascii="Times New Roman" w:eastAsia="ArialMT" w:hAnsi="Times New Roman" w:cs="Times New Roman"/>
          <w:lang w:val="fr-FR"/>
        </w:rPr>
        <w:t>1</w:t>
      </w:r>
      <w:r w:rsidRPr="009A1D6D">
        <w:rPr>
          <w:rStyle w:val="display-block"/>
          <w:rFonts w:ascii="Times New Roman" w:hAnsi="Times New Roman" w:cs="Times New Roman"/>
          <w:lang w:val="ro-RO"/>
        </w:rPr>
        <w:t>‰</w:t>
      </w:r>
      <w:r w:rsidR="00F84540">
        <w:rPr>
          <w:rStyle w:val="display-block"/>
          <w:rFonts w:ascii="Times New Roman" w:hAnsi="Times New Roman" w:cs="Times New Roman"/>
          <w:lang w:val="ro-RO"/>
        </w:rPr>
        <w:t xml:space="preserve"> în UE</w:t>
      </w:r>
      <w:r w:rsidR="001A4BDD">
        <w:rPr>
          <w:rFonts w:ascii="Times New Roman" w:eastAsia="ArialMT" w:hAnsi="Times New Roman" w:cs="Times New Roman"/>
          <w:lang w:val="fr-FR"/>
        </w:rPr>
        <w:t xml:space="preserve"> (9,9%)</w:t>
      </w:r>
      <w:r w:rsidR="004C4E16">
        <w:rPr>
          <w:rFonts w:ascii="Times New Roman" w:eastAsia="ArialMT" w:hAnsi="Times New Roman" w:cs="Times New Roman"/>
          <w:lang w:val="fr-FR"/>
        </w:rPr>
        <w:t xml:space="preserve"> și respectiv de la 9,7</w:t>
      </w:r>
      <w:r w:rsidR="00F84540">
        <w:rPr>
          <w:rFonts w:ascii="Times New Roman" w:eastAsia="ArialMT" w:hAnsi="Times New Roman" w:cs="Times New Roman"/>
          <w:lang w:val="fr-FR"/>
        </w:rPr>
        <w:t>%o la 9,3%o (4,12%) în</w:t>
      </w:r>
      <w:r w:rsidR="00926DCA">
        <w:rPr>
          <w:rFonts w:ascii="Times New Roman" w:eastAsia="ArialMT" w:hAnsi="Times New Roman" w:cs="Times New Roman"/>
          <w:lang w:val="fr-FR"/>
        </w:rPr>
        <w:t xml:space="preserve"> Rom</w:t>
      </w:r>
      <w:r w:rsidR="004C4E16">
        <w:rPr>
          <w:rFonts w:ascii="Times New Roman" w:eastAsia="ArialMT" w:hAnsi="Times New Roman" w:cs="Times New Roman"/>
          <w:lang w:val="fr-FR"/>
        </w:rPr>
        <w:t>â</w:t>
      </w:r>
      <w:r w:rsidR="00926DCA">
        <w:rPr>
          <w:rFonts w:ascii="Times New Roman" w:eastAsia="ArialMT" w:hAnsi="Times New Roman" w:cs="Times New Roman"/>
          <w:lang w:val="fr-FR"/>
        </w:rPr>
        <w:t>nia</w:t>
      </w:r>
      <w:r w:rsidR="00F84540">
        <w:rPr>
          <w:rFonts w:ascii="Times New Roman" w:eastAsia="ArialMT" w:hAnsi="Times New Roman" w:cs="Times New Roman"/>
          <w:lang w:val="fr-FR"/>
        </w:rPr>
        <w:t>.</w:t>
      </w:r>
    </w:p>
    <w:p w:rsidR="0061328B" w:rsidRDefault="0061328B" w:rsidP="0061328B">
      <w:pPr>
        <w:shd w:val="clear" w:color="auto" w:fill="FFFFFF"/>
        <w:spacing w:after="0"/>
        <w:rPr>
          <w:rFonts w:ascii="Times New Roman" w:eastAsia="Times New Roman" w:hAnsi="Times New Roman" w:cs="Times New Roman"/>
          <w:b/>
          <w:lang w:val="fr-FR"/>
        </w:rPr>
      </w:pPr>
      <w:r w:rsidRPr="0061328B">
        <w:rPr>
          <w:rFonts w:ascii="Times New Roman" w:eastAsia="Times New Roman" w:hAnsi="Times New Roman" w:cs="Times New Roman"/>
          <w:b/>
          <w:lang w:val="fr-FR"/>
        </w:rPr>
        <w:t xml:space="preserve">Tabel </w:t>
      </w:r>
      <w:r w:rsidR="00E964C5">
        <w:rPr>
          <w:rFonts w:ascii="Times New Roman" w:eastAsia="Times New Roman" w:hAnsi="Times New Roman" w:cs="Times New Roman"/>
          <w:b/>
          <w:lang w:val="fr-FR"/>
        </w:rPr>
        <w:t>1</w:t>
      </w:r>
      <w:r w:rsidRPr="0061328B">
        <w:rPr>
          <w:rFonts w:ascii="Times New Roman" w:eastAsia="Times New Roman" w:hAnsi="Times New Roman" w:cs="Times New Roman"/>
          <w:b/>
          <w:lang w:val="fr-FR"/>
        </w:rPr>
        <w:t xml:space="preserve">. Ponderea născuților vii </w:t>
      </w:r>
      <w:r w:rsidR="00F84540">
        <w:rPr>
          <w:rFonts w:ascii="Times New Roman" w:eastAsia="Times New Roman" w:hAnsi="Times New Roman" w:cs="Times New Roman"/>
          <w:b/>
          <w:lang w:val="fr-FR"/>
        </w:rPr>
        <w:t>provenind d</w:t>
      </w:r>
      <w:r w:rsidR="00344EB0">
        <w:rPr>
          <w:rFonts w:ascii="Times New Roman" w:eastAsia="Times New Roman" w:hAnsi="Times New Roman" w:cs="Times New Roman"/>
          <w:b/>
          <w:lang w:val="fr-FR"/>
        </w:rPr>
        <w:t>e la</w:t>
      </w:r>
      <w:r w:rsidR="00F84540">
        <w:rPr>
          <w:rFonts w:ascii="Times New Roman" w:eastAsia="Times New Roman" w:hAnsi="Times New Roman" w:cs="Times New Roman"/>
          <w:b/>
          <w:lang w:val="fr-FR"/>
        </w:rPr>
        <w:t xml:space="preserve"> adolescente cu vârste </w:t>
      </w:r>
      <w:r w:rsidRPr="0061328B">
        <w:rPr>
          <w:rFonts w:ascii="Times New Roman" w:eastAsia="Times New Roman" w:hAnsi="Times New Roman" w:cs="Times New Roman"/>
          <w:b/>
          <w:lang w:val="ro-RO"/>
        </w:rPr>
        <w:t>între</w:t>
      </w:r>
      <w:r w:rsidRPr="0061328B">
        <w:rPr>
          <w:rFonts w:ascii="Times New Roman" w:eastAsia="Times New Roman" w:hAnsi="Times New Roman" w:cs="Times New Roman"/>
          <w:b/>
          <w:lang w:val="fr-FR"/>
        </w:rPr>
        <w:t xml:space="preserve"> </w:t>
      </w:r>
      <w:r w:rsidRPr="003504C7">
        <w:rPr>
          <w:rFonts w:ascii="Times New Roman" w:eastAsia="Times New Roman" w:hAnsi="Times New Roman" w:cs="Times New Roman"/>
          <w:b/>
          <w:u w:val="single"/>
          <w:lang w:val="fr-FR"/>
        </w:rPr>
        <w:t>10-19 ani</w:t>
      </w:r>
      <w:r w:rsidRPr="0061328B">
        <w:rPr>
          <w:rFonts w:ascii="Times New Roman" w:eastAsia="Times New Roman" w:hAnsi="Times New Roman" w:cs="Times New Roman"/>
          <w:b/>
          <w:lang w:val="fr-FR"/>
        </w:rPr>
        <w:t xml:space="preserve">, </w:t>
      </w:r>
      <w:r w:rsidRPr="0061328B">
        <w:rPr>
          <w:rFonts w:ascii="Times New Roman" w:eastAsia="Times New Roman" w:hAnsi="Times New Roman" w:cs="Times New Roman"/>
          <w:b/>
          <w:lang w:val="ro-RO"/>
        </w:rPr>
        <w:t>în Europa</w:t>
      </w:r>
      <w:r w:rsidR="00F84540">
        <w:rPr>
          <w:rFonts w:ascii="Times New Roman" w:eastAsia="Times New Roman" w:hAnsi="Times New Roman" w:cs="Times New Roman"/>
          <w:b/>
          <w:lang w:val="ro-RO"/>
        </w:rPr>
        <w:t xml:space="preserve"> și România</w:t>
      </w:r>
      <w:r w:rsidRPr="0061328B">
        <w:rPr>
          <w:rFonts w:ascii="Times New Roman" w:eastAsia="Times New Roman" w:hAnsi="Times New Roman" w:cs="Times New Roman"/>
          <w:b/>
          <w:lang w:val="ro-RO"/>
        </w:rPr>
        <w:t xml:space="preserve">, </w:t>
      </w:r>
      <w:r w:rsidRPr="0061328B">
        <w:rPr>
          <w:rFonts w:ascii="Times New Roman" w:eastAsia="Times New Roman" w:hAnsi="Times New Roman" w:cs="Times New Roman"/>
          <w:b/>
          <w:lang w:val="fr-FR"/>
        </w:rPr>
        <w:t xml:space="preserve"> 2011-2020, %</w:t>
      </w:r>
      <w:r w:rsidR="003504C7">
        <w:rPr>
          <w:rFonts w:ascii="Times New Roman" w:eastAsia="Times New Roman" w:hAnsi="Times New Roman" w:cs="Times New Roman"/>
          <w:b/>
          <w:lang w:val="fr-FR"/>
        </w:rPr>
        <w:t xml:space="preserve">   </w:t>
      </w:r>
    </w:p>
    <w:tbl>
      <w:tblPr>
        <w:tblW w:w="10172" w:type="dxa"/>
        <w:tblInd w:w="-162" w:type="dxa"/>
        <w:tblLook w:val="04A0" w:firstRow="1" w:lastRow="0" w:firstColumn="1" w:lastColumn="0" w:noHBand="0" w:noVBand="1"/>
      </w:tblPr>
      <w:tblGrid>
        <w:gridCol w:w="1440"/>
        <w:gridCol w:w="900"/>
        <w:gridCol w:w="900"/>
        <w:gridCol w:w="900"/>
        <w:gridCol w:w="900"/>
        <w:gridCol w:w="900"/>
        <w:gridCol w:w="900"/>
        <w:gridCol w:w="900"/>
        <w:gridCol w:w="900"/>
        <w:gridCol w:w="766"/>
        <w:gridCol w:w="766"/>
      </w:tblGrid>
      <w:tr w:rsidR="0061328B" w:rsidRPr="0061328B" w:rsidTr="004C4E16">
        <w:trPr>
          <w:trHeight w:val="288"/>
        </w:trPr>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1328B" w:rsidRPr="0061328B" w:rsidRDefault="0061328B" w:rsidP="0061328B">
            <w:pPr>
              <w:spacing w:after="0" w:line="240" w:lineRule="auto"/>
              <w:rPr>
                <w:rFonts w:ascii="Times New Roman" w:eastAsia="Times New Roman" w:hAnsi="Times New Roman" w:cs="Times New Roman"/>
              </w:rPr>
            </w:pPr>
            <w:r w:rsidRPr="0061328B">
              <w:rPr>
                <w:rFonts w:ascii="Times New Roman" w:eastAsia="Times New Roman" w:hAnsi="Times New Roman" w:cs="Times New Roman"/>
              </w:rPr>
              <w:t>Țări</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2011</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2012</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2013</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2014</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2015</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2016</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2017</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2018</w:t>
            </w:r>
          </w:p>
        </w:tc>
        <w:tc>
          <w:tcPr>
            <w:tcW w:w="766"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2019</w:t>
            </w:r>
          </w:p>
        </w:tc>
        <w:tc>
          <w:tcPr>
            <w:tcW w:w="766"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2020</w:t>
            </w:r>
          </w:p>
        </w:tc>
      </w:tr>
      <w:tr w:rsidR="0061328B" w:rsidRPr="0061328B" w:rsidTr="004C4E16">
        <w:trPr>
          <w:trHeight w:val="288"/>
        </w:trPr>
        <w:tc>
          <w:tcPr>
            <w:tcW w:w="1440" w:type="dxa"/>
            <w:tcBorders>
              <w:top w:val="nil"/>
              <w:left w:val="single" w:sz="4" w:space="0" w:color="000000"/>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rPr>
                <w:rFonts w:ascii="Times New Roman" w:eastAsia="Times New Roman" w:hAnsi="Times New Roman" w:cs="Times New Roman"/>
                <w:b/>
              </w:rPr>
            </w:pPr>
            <w:r w:rsidRPr="0061328B">
              <w:rPr>
                <w:rFonts w:ascii="Times New Roman" w:eastAsia="Times New Roman" w:hAnsi="Times New Roman" w:cs="Times New Roman"/>
                <w:b/>
              </w:rPr>
              <w:t>UE/EEA</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3.10</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3.03</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2.90</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2.81</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2.70</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2.69</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2.55</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2.43</w:t>
            </w:r>
          </w:p>
        </w:tc>
        <w:tc>
          <w:tcPr>
            <w:tcW w:w="766"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2.37</w:t>
            </w:r>
          </w:p>
        </w:tc>
        <w:tc>
          <w:tcPr>
            <w:tcW w:w="766"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2.26</w:t>
            </w:r>
          </w:p>
        </w:tc>
      </w:tr>
      <w:tr w:rsidR="0061328B" w:rsidRPr="0061328B" w:rsidTr="004C4E16">
        <w:trPr>
          <w:trHeight w:val="288"/>
        </w:trPr>
        <w:tc>
          <w:tcPr>
            <w:tcW w:w="1440" w:type="dxa"/>
            <w:tcBorders>
              <w:top w:val="nil"/>
              <w:left w:val="single" w:sz="4" w:space="0" w:color="000000"/>
              <w:bottom w:val="single" w:sz="4" w:space="0" w:color="000000"/>
              <w:right w:val="single" w:sz="4" w:space="0" w:color="000000"/>
            </w:tcBorders>
            <w:shd w:val="clear" w:color="auto" w:fill="auto"/>
            <w:noWrap/>
            <w:vAlign w:val="bottom"/>
          </w:tcPr>
          <w:p w:rsidR="0061328B" w:rsidRPr="0061328B" w:rsidRDefault="0061328B" w:rsidP="004C4E16">
            <w:pPr>
              <w:spacing w:after="0" w:line="240" w:lineRule="auto"/>
              <w:rPr>
                <w:rFonts w:ascii="Times New Roman" w:eastAsia="Times New Roman" w:hAnsi="Times New Roman" w:cs="Times New Roman"/>
                <w:b/>
              </w:rPr>
            </w:pPr>
            <w:r w:rsidRPr="0061328B">
              <w:rPr>
                <w:rFonts w:ascii="Times New Roman" w:eastAsia="Times New Roman" w:hAnsi="Times New Roman" w:cs="Times New Roman"/>
                <w:b/>
              </w:rPr>
              <w:t>România</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10.65</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10.25</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10.16</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10.01</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9.84</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9.97</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9.66</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9.48</w:t>
            </w:r>
          </w:p>
        </w:tc>
        <w:tc>
          <w:tcPr>
            <w:tcW w:w="766"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9.35</w:t>
            </w:r>
          </w:p>
        </w:tc>
        <w:tc>
          <w:tcPr>
            <w:tcW w:w="766"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9.13</w:t>
            </w:r>
          </w:p>
        </w:tc>
      </w:tr>
    </w:tbl>
    <w:p w:rsidR="00241A19" w:rsidRPr="00BD66BF" w:rsidRDefault="00241A19" w:rsidP="00241A19">
      <w:pPr>
        <w:shd w:val="clear" w:color="auto" w:fill="FFFFFF"/>
        <w:spacing w:after="0"/>
        <w:rPr>
          <w:rFonts w:ascii="Times New Roman" w:eastAsia="Times New Roman" w:hAnsi="Times New Roman" w:cs="Times New Roman"/>
          <w:color w:val="0000FF"/>
          <w:sz w:val="20"/>
          <w:szCs w:val="20"/>
          <w:vertAlign w:val="superscript"/>
          <w:lang w:val="fr-FR"/>
        </w:rPr>
      </w:pPr>
      <w:r w:rsidRPr="00241A19">
        <w:rPr>
          <w:rFonts w:ascii="Times New Roman" w:eastAsia="Times New Roman" w:hAnsi="Times New Roman" w:cs="Times New Roman"/>
          <w:b/>
          <w:sz w:val="20"/>
          <w:szCs w:val="20"/>
          <w:lang w:val="fr-FR"/>
        </w:rPr>
        <w:t xml:space="preserve">Sursa: </w:t>
      </w:r>
      <w:hyperlink r:id="rId12" w:history="1">
        <w:r w:rsidRPr="00241A19">
          <w:rPr>
            <w:rFonts w:ascii="Times New Roman" w:eastAsia="Times New Roman" w:hAnsi="Times New Roman" w:cs="Times New Roman"/>
            <w:color w:val="0000FF"/>
            <w:sz w:val="20"/>
            <w:szCs w:val="20"/>
            <w:u w:val="single"/>
            <w:lang w:val="fr-FR"/>
          </w:rPr>
          <w:t>https://ec.europa.eu/eurostat/databrowser/view/DEMO_FASEC__custom_1322514/default/table?lang=en</w:t>
        </w:r>
      </w:hyperlink>
      <w:r w:rsidR="00BD66BF">
        <w:rPr>
          <w:rFonts w:ascii="Times New Roman" w:eastAsia="Times New Roman" w:hAnsi="Times New Roman" w:cs="Times New Roman"/>
          <w:color w:val="0000FF"/>
          <w:sz w:val="20"/>
          <w:szCs w:val="20"/>
          <w:u w:val="single"/>
          <w:vertAlign w:val="superscript"/>
          <w:lang w:val="fr-FR"/>
        </w:rPr>
        <w:t>4</w:t>
      </w:r>
    </w:p>
    <w:p w:rsidR="00241A19" w:rsidRPr="0061328B" w:rsidRDefault="00F84540" w:rsidP="0093465E">
      <w:pPr>
        <w:spacing w:after="0"/>
        <w:rPr>
          <w:rFonts w:ascii="Times New Roman" w:hAnsi="Times New Roman" w:cs="Times New Roman"/>
        </w:rPr>
      </w:pPr>
      <w:r>
        <w:rPr>
          <w:rFonts w:ascii="Times New Roman" w:hAnsi="Times New Roman" w:cs="Times New Roman"/>
        </w:rPr>
        <w:t>Î</w:t>
      </w:r>
      <w:r w:rsidRPr="0061328B">
        <w:rPr>
          <w:rFonts w:ascii="Times New Roman" w:hAnsi="Times New Roman" w:cs="Times New Roman"/>
        </w:rPr>
        <w:t>n perioada 2011-2020</w:t>
      </w:r>
      <w:r>
        <w:rPr>
          <w:rFonts w:ascii="Times New Roman" w:hAnsi="Times New Roman" w:cs="Times New Roman"/>
        </w:rPr>
        <w:t xml:space="preserve">, în </w:t>
      </w:r>
      <w:r w:rsidR="0061328B" w:rsidRPr="0061328B">
        <w:rPr>
          <w:rFonts w:ascii="Times New Roman" w:hAnsi="Times New Roman" w:cs="Times New Roman"/>
        </w:rPr>
        <w:t>UE, ponderea n</w:t>
      </w:r>
      <w:r>
        <w:rPr>
          <w:rFonts w:ascii="Times New Roman" w:hAnsi="Times New Roman" w:cs="Times New Roman"/>
        </w:rPr>
        <w:t>ă</w:t>
      </w:r>
      <w:r w:rsidR="0061328B" w:rsidRPr="0061328B">
        <w:rPr>
          <w:rFonts w:ascii="Times New Roman" w:hAnsi="Times New Roman" w:cs="Times New Roman"/>
        </w:rPr>
        <w:t>scu</w:t>
      </w:r>
      <w:r>
        <w:rPr>
          <w:rFonts w:ascii="Times New Roman" w:hAnsi="Times New Roman" w:cs="Times New Roman"/>
        </w:rPr>
        <w:t>ț</w:t>
      </w:r>
      <w:r w:rsidR="0061328B" w:rsidRPr="0061328B">
        <w:rPr>
          <w:rFonts w:ascii="Times New Roman" w:hAnsi="Times New Roman" w:cs="Times New Roman"/>
        </w:rPr>
        <w:t>ilor provenind din mame cu v</w:t>
      </w:r>
      <w:r>
        <w:rPr>
          <w:rFonts w:ascii="Times New Roman" w:hAnsi="Times New Roman" w:cs="Times New Roman"/>
        </w:rPr>
        <w:t>â</w:t>
      </w:r>
      <w:r w:rsidR="0061328B" w:rsidRPr="0061328B">
        <w:rPr>
          <w:rFonts w:ascii="Times New Roman" w:hAnsi="Times New Roman" w:cs="Times New Roman"/>
        </w:rPr>
        <w:t xml:space="preserve">rste </w:t>
      </w:r>
      <w:r>
        <w:rPr>
          <w:rFonts w:ascii="Times New Roman" w:hAnsi="Times New Roman" w:cs="Times New Roman"/>
        </w:rPr>
        <w:t xml:space="preserve">cuprinse între </w:t>
      </w:r>
      <w:r w:rsidR="0061328B" w:rsidRPr="0061328B">
        <w:rPr>
          <w:rFonts w:ascii="Times New Roman" w:hAnsi="Times New Roman" w:cs="Times New Roman"/>
        </w:rPr>
        <w:t xml:space="preserve">10-19 ani a </w:t>
      </w:r>
      <w:r>
        <w:rPr>
          <w:rFonts w:ascii="Times New Roman" w:hAnsi="Times New Roman" w:cs="Times New Roman"/>
        </w:rPr>
        <w:t>î</w:t>
      </w:r>
      <w:r w:rsidR="0061328B" w:rsidRPr="0061328B">
        <w:rPr>
          <w:rFonts w:ascii="Times New Roman" w:hAnsi="Times New Roman" w:cs="Times New Roman"/>
        </w:rPr>
        <w:t>nregistrat o sc</w:t>
      </w:r>
      <w:r>
        <w:rPr>
          <w:rFonts w:ascii="Times New Roman" w:hAnsi="Times New Roman" w:cs="Times New Roman"/>
        </w:rPr>
        <w:t>ădere de 27%, iar în România, de 14%</w:t>
      </w:r>
      <w:r w:rsidR="0061328B" w:rsidRPr="0061328B">
        <w:rPr>
          <w:rFonts w:ascii="Times New Roman" w:hAnsi="Times New Roman" w:cs="Times New Roman"/>
        </w:rPr>
        <w:t xml:space="preserve">. </w:t>
      </w:r>
    </w:p>
    <w:p w:rsidR="00241A19" w:rsidRPr="00241A19" w:rsidRDefault="00241A19" w:rsidP="00FE4FB9">
      <w:pPr>
        <w:spacing w:after="0"/>
        <w:rPr>
          <w:rFonts w:ascii="Times New Roman" w:hAnsi="Times New Roman" w:cs="Times New Roman"/>
          <w:b/>
          <w:color w:val="000000" w:themeColor="text1"/>
          <w:u w:val="single"/>
          <w:lang w:val="fr-FR"/>
        </w:rPr>
      </w:pPr>
      <w:r w:rsidRPr="00241A19">
        <w:rPr>
          <w:rFonts w:ascii="Times New Roman" w:eastAsia="Times New Roman" w:hAnsi="Times New Roman" w:cs="Times New Roman"/>
          <w:b/>
          <w:color w:val="000000" w:themeColor="text1"/>
          <w:lang w:val="fr-FR"/>
        </w:rPr>
        <w:t xml:space="preserve">Figura </w:t>
      </w:r>
      <w:r w:rsidR="0063082A">
        <w:rPr>
          <w:rFonts w:ascii="Times New Roman" w:eastAsia="Times New Roman" w:hAnsi="Times New Roman" w:cs="Times New Roman"/>
          <w:b/>
          <w:color w:val="000000" w:themeColor="text1"/>
          <w:lang w:val="fr-FR"/>
        </w:rPr>
        <w:t>3</w:t>
      </w:r>
      <w:r w:rsidRPr="00241A19">
        <w:rPr>
          <w:rFonts w:ascii="Times New Roman" w:eastAsia="Times New Roman" w:hAnsi="Times New Roman" w:cs="Times New Roman"/>
          <w:b/>
          <w:color w:val="000000" w:themeColor="text1"/>
          <w:lang w:val="fr-FR"/>
        </w:rPr>
        <w:t xml:space="preserve">. Pondere nou-născuți la adolescente, UE </w:t>
      </w:r>
      <w:r w:rsidRPr="00241A19">
        <w:rPr>
          <w:rFonts w:ascii="Times New Roman" w:eastAsia="Times New Roman" w:hAnsi="Times New Roman" w:cs="Times New Roman"/>
          <w:b/>
          <w:i/>
          <w:color w:val="000000" w:themeColor="text1"/>
          <w:lang w:val="fr-FR"/>
        </w:rPr>
        <w:t>vs</w:t>
      </w:r>
      <w:r w:rsidRPr="00241A19">
        <w:rPr>
          <w:rFonts w:ascii="Times New Roman" w:eastAsia="Times New Roman" w:hAnsi="Times New Roman" w:cs="Times New Roman"/>
          <w:b/>
          <w:color w:val="000000" w:themeColor="text1"/>
          <w:lang w:val="fr-FR"/>
        </w:rPr>
        <w:t xml:space="preserve"> Romania, 2011-2020</w:t>
      </w:r>
      <w:r w:rsidR="00BE1D76">
        <w:rPr>
          <w:rFonts w:ascii="Times New Roman" w:eastAsia="Times New Roman" w:hAnsi="Times New Roman" w:cs="Times New Roman"/>
          <w:b/>
          <w:color w:val="000000" w:themeColor="text1"/>
          <w:lang w:val="fr-FR"/>
        </w:rPr>
        <w:t xml:space="preserve"> (%)</w:t>
      </w:r>
    </w:p>
    <w:p w:rsidR="000A7536" w:rsidRDefault="000A7536" w:rsidP="00241A19">
      <w:pPr>
        <w:shd w:val="clear" w:color="auto" w:fill="FFFFFF"/>
        <w:spacing w:after="0"/>
        <w:ind w:firstLine="720"/>
        <w:jc w:val="both"/>
        <w:rPr>
          <w:rFonts w:ascii="Times New Roman" w:hAnsi="Times New Roman" w:cs="Times New Roman"/>
          <w:color w:val="0000FF"/>
          <w:sz w:val="20"/>
          <w:szCs w:val="20"/>
          <w:u w:val="single"/>
          <w:lang w:val="ro-RO"/>
        </w:rPr>
      </w:pPr>
      <w:r>
        <w:rPr>
          <w:rFonts w:ascii="Times New Roman" w:hAnsi="Times New Roman" w:cs="Times New Roman"/>
          <w:noProof/>
          <w:color w:val="00B050"/>
        </w:rPr>
        <w:drawing>
          <wp:inline distT="0" distB="0" distL="0" distR="0" wp14:anchorId="7368E912" wp14:editId="1AC244F0">
            <wp:extent cx="5648325" cy="16002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7536" w:rsidRPr="00BD66BF" w:rsidRDefault="000A7536" w:rsidP="000A7536">
      <w:pPr>
        <w:shd w:val="clear" w:color="auto" w:fill="FFFFFF"/>
        <w:spacing w:after="0"/>
        <w:jc w:val="both"/>
        <w:rPr>
          <w:rFonts w:ascii="Times New Roman" w:hAnsi="Times New Roman" w:cs="Times New Roman"/>
          <w:color w:val="0000FF"/>
          <w:sz w:val="20"/>
          <w:szCs w:val="20"/>
          <w:u w:val="single"/>
          <w:vertAlign w:val="superscript"/>
          <w:lang w:val="ro-RO"/>
        </w:rPr>
      </w:pPr>
      <w:r w:rsidRPr="00722B01">
        <w:rPr>
          <w:rStyle w:val="display-block"/>
          <w:rFonts w:ascii="Times New Roman" w:hAnsi="Times New Roman" w:cs="Times New Roman"/>
          <w:sz w:val="20"/>
          <w:szCs w:val="20"/>
          <w:lang w:val="ro-RO"/>
        </w:rPr>
        <w:t>Sursa:</w:t>
      </w:r>
      <w:r w:rsidRPr="00722B01">
        <w:rPr>
          <w:rStyle w:val="display-block"/>
          <w:rFonts w:ascii="Times New Roman" w:hAnsi="Times New Roman" w:cs="Times New Roman"/>
          <w:color w:val="FF0000"/>
          <w:sz w:val="20"/>
          <w:szCs w:val="20"/>
          <w:lang w:val="ro-RO"/>
        </w:rPr>
        <w:t xml:space="preserve"> </w:t>
      </w:r>
      <w:hyperlink r:id="rId14" w:history="1">
        <w:r w:rsidRPr="00722B01">
          <w:rPr>
            <w:rStyle w:val="Hyperlink"/>
            <w:rFonts w:ascii="Times New Roman" w:eastAsia="Times New Roman" w:hAnsi="Times New Roman" w:cs="Times New Roman"/>
            <w:sz w:val="20"/>
            <w:szCs w:val="20"/>
            <w:lang w:val="fr-FR"/>
          </w:rPr>
          <w:t>https://ec.europa.eu/eurostat/databrowser/view/DEMO_FASEC__custom_1322514/default/table?lang=en</w:t>
        </w:r>
      </w:hyperlink>
      <w:r w:rsidR="00BD66BF">
        <w:rPr>
          <w:rStyle w:val="Hyperlink"/>
          <w:rFonts w:ascii="Times New Roman" w:eastAsia="Times New Roman" w:hAnsi="Times New Roman" w:cs="Times New Roman"/>
          <w:sz w:val="20"/>
          <w:szCs w:val="20"/>
          <w:vertAlign w:val="superscript"/>
          <w:lang w:val="fr-FR"/>
        </w:rPr>
        <w:t>4</w:t>
      </w:r>
    </w:p>
    <w:p w:rsidR="00EE702A" w:rsidRPr="00EE702A" w:rsidRDefault="00EE702A" w:rsidP="00EE702A">
      <w:pPr>
        <w:spacing w:after="0"/>
        <w:rPr>
          <w:rStyle w:val="display-block"/>
          <w:rFonts w:ascii="Times New Roman" w:hAnsi="Times New Roman" w:cs="Times New Roman"/>
          <w:lang w:val="ro-RO"/>
        </w:rPr>
      </w:pPr>
      <w:r w:rsidRPr="00EE702A">
        <w:rPr>
          <w:rStyle w:val="Hyperlink"/>
          <w:rFonts w:ascii="Times New Roman" w:hAnsi="Times New Roman" w:cs="Times New Roman"/>
          <w:color w:val="auto"/>
          <w:u w:val="none"/>
          <w:lang w:val="ro-RO"/>
        </w:rPr>
        <w:t>În perioada 2011-2020, în UE, ponderea de nou-născuți la adolescente 15-19 ani scade cu 27%, în timp</w:t>
      </w:r>
      <w:r>
        <w:rPr>
          <w:rStyle w:val="Hyperlink"/>
          <w:rFonts w:ascii="Times New Roman" w:hAnsi="Times New Roman" w:cs="Times New Roman"/>
          <w:color w:val="auto"/>
          <w:u w:val="none"/>
          <w:lang w:val="ro-RO"/>
        </w:rPr>
        <w:t xml:space="preserve"> ce în România,  scade cu 15% </w:t>
      </w:r>
      <w:r w:rsidRPr="00EE702A">
        <w:rPr>
          <w:rStyle w:val="Hyperlink"/>
          <w:rFonts w:ascii="Times New Roman" w:hAnsi="Times New Roman" w:cs="Times New Roman"/>
          <w:color w:val="auto"/>
          <w:u w:val="none"/>
          <w:lang w:val="ro-RO"/>
        </w:rPr>
        <w:t>.</w:t>
      </w:r>
    </w:p>
    <w:p w:rsidR="00EE702A" w:rsidRPr="0061328B" w:rsidRDefault="00EE702A" w:rsidP="00EE702A">
      <w:pPr>
        <w:spacing w:after="0"/>
        <w:rPr>
          <w:rFonts w:ascii="Times New Roman" w:hAnsi="Times New Roman" w:cs="Times New Roman"/>
        </w:rPr>
      </w:pPr>
      <w:r>
        <w:rPr>
          <w:rFonts w:ascii="Times New Roman" w:hAnsi="Times New Roman" w:cs="Times New Roman"/>
        </w:rPr>
        <w:t>Î</w:t>
      </w:r>
      <w:r w:rsidRPr="0061328B">
        <w:rPr>
          <w:rFonts w:ascii="Times New Roman" w:hAnsi="Times New Roman" w:cs="Times New Roman"/>
        </w:rPr>
        <w:t>n perioada 2011-2020</w:t>
      </w:r>
      <w:r>
        <w:rPr>
          <w:rFonts w:ascii="Times New Roman" w:hAnsi="Times New Roman" w:cs="Times New Roman"/>
        </w:rPr>
        <w:t xml:space="preserve">, în </w:t>
      </w:r>
      <w:r w:rsidRPr="0061328B">
        <w:rPr>
          <w:rFonts w:ascii="Times New Roman" w:hAnsi="Times New Roman" w:cs="Times New Roman"/>
        </w:rPr>
        <w:t>UE, ponderea n</w:t>
      </w:r>
      <w:r>
        <w:rPr>
          <w:rFonts w:ascii="Times New Roman" w:hAnsi="Times New Roman" w:cs="Times New Roman"/>
        </w:rPr>
        <w:t>ă</w:t>
      </w:r>
      <w:r w:rsidRPr="0061328B">
        <w:rPr>
          <w:rFonts w:ascii="Times New Roman" w:hAnsi="Times New Roman" w:cs="Times New Roman"/>
        </w:rPr>
        <w:t>scu</w:t>
      </w:r>
      <w:r>
        <w:rPr>
          <w:rFonts w:ascii="Times New Roman" w:hAnsi="Times New Roman" w:cs="Times New Roman"/>
        </w:rPr>
        <w:t>ț</w:t>
      </w:r>
      <w:r w:rsidRPr="0061328B">
        <w:rPr>
          <w:rFonts w:ascii="Times New Roman" w:hAnsi="Times New Roman" w:cs="Times New Roman"/>
        </w:rPr>
        <w:t>ilor provenind din mame cu v</w:t>
      </w:r>
      <w:r>
        <w:rPr>
          <w:rFonts w:ascii="Times New Roman" w:hAnsi="Times New Roman" w:cs="Times New Roman"/>
        </w:rPr>
        <w:t>â</w:t>
      </w:r>
      <w:r w:rsidRPr="0061328B">
        <w:rPr>
          <w:rFonts w:ascii="Times New Roman" w:hAnsi="Times New Roman" w:cs="Times New Roman"/>
        </w:rPr>
        <w:t xml:space="preserve">rste </w:t>
      </w:r>
      <w:r>
        <w:rPr>
          <w:rFonts w:ascii="Times New Roman" w:hAnsi="Times New Roman" w:cs="Times New Roman"/>
        </w:rPr>
        <w:t xml:space="preserve">cuprinse între </w:t>
      </w:r>
      <w:r w:rsidRPr="0061328B">
        <w:rPr>
          <w:rFonts w:ascii="Times New Roman" w:hAnsi="Times New Roman" w:cs="Times New Roman"/>
        </w:rPr>
        <w:t>10-</w:t>
      </w:r>
      <w:r>
        <w:rPr>
          <w:rFonts w:ascii="Times New Roman" w:hAnsi="Times New Roman" w:cs="Times New Roman"/>
        </w:rPr>
        <w:t>14</w:t>
      </w:r>
      <w:r w:rsidRPr="0061328B">
        <w:rPr>
          <w:rFonts w:ascii="Times New Roman" w:hAnsi="Times New Roman" w:cs="Times New Roman"/>
        </w:rPr>
        <w:t xml:space="preserve"> ani a </w:t>
      </w:r>
      <w:r>
        <w:rPr>
          <w:rFonts w:ascii="Times New Roman" w:hAnsi="Times New Roman" w:cs="Times New Roman"/>
        </w:rPr>
        <w:t>î</w:t>
      </w:r>
      <w:r w:rsidRPr="0061328B">
        <w:rPr>
          <w:rFonts w:ascii="Times New Roman" w:hAnsi="Times New Roman" w:cs="Times New Roman"/>
        </w:rPr>
        <w:t>nregistrat o sc</w:t>
      </w:r>
      <w:r>
        <w:rPr>
          <w:rFonts w:ascii="Times New Roman" w:hAnsi="Times New Roman" w:cs="Times New Roman"/>
        </w:rPr>
        <w:t>ădere de 11%, iar în România, de 2,63%</w:t>
      </w:r>
      <w:r w:rsidRPr="0061328B">
        <w:rPr>
          <w:rFonts w:ascii="Times New Roman" w:hAnsi="Times New Roman" w:cs="Times New Roman"/>
        </w:rPr>
        <w:t xml:space="preserve">. </w:t>
      </w:r>
    </w:p>
    <w:p w:rsidR="006542B2" w:rsidRDefault="006542B2" w:rsidP="009C7F2B">
      <w:pPr>
        <w:shd w:val="clear" w:color="auto" w:fill="FFFFFF"/>
        <w:spacing w:after="0"/>
        <w:jc w:val="both"/>
        <w:rPr>
          <w:rFonts w:ascii="Times New Roman" w:hAnsi="Times New Roman" w:cs="Times New Roman"/>
          <w:b/>
          <w:lang w:val="ro-RO"/>
        </w:rPr>
      </w:pPr>
    </w:p>
    <w:p w:rsidR="001A3F0F" w:rsidRPr="006542B2" w:rsidRDefault="006542B2" w:rsidP="009C7F2B">
      <w:pPr>
        <w:shd w:val="clear" w:color="auto" w:fill="FFFFFF"/>
        <w:spacing w:after="0"/>
        <w:jc w:val="both"/>
        <w:rPr>
          <w:rFonts w:ascii="Times New Roman" w:hAnsi="Times New Roman" w:cs="Times New Roman"/>
          <w:b/>
          <w:lang w:val="ro-RO"/>
        </w:rPr>
      </w:pPr>
      <w:r w:rsidRPr="006542B2">
        <w:rPr>
          <w:rFonts w:ascii="Times New Roman" w:hAnsi="Times New Roman" w:cs="Times New Roman"/>
          <w:b/>
          <w:lang w:val="ro-RO"/>
        </w:rPr>
        <w:t>FERTILITATE</w:t>
      </w:r>
    </w:p>
    <w:p w:rsidR="00B0503A" w:rsidRDefault="001A3F0F" w:rsidP="009C7F2B">
      <w:pPr>
        <w:shd w:val="clear" w:color="auto" w:fill="FFFFFF"/>
        <w:spacing w:after="0"/>
        <w:jc w:val="both"/>
        <w:rPr>
          <w:rStyle w:val="display-block"/>
          <w:rFonts w:ascii="Times New Roman" w:hAnsi="Times New Roman" w:cs="Times New Roman"/>
          <w:lang w:val="ro-RO"/>
        </w:rPr>
      </w:pPr>
      <w:r>
        <w:rPr>
          <w:rStyle w:val="display-block"/>
          <w:rFonts w:ascii="Times New Roman" w:hAnsi="Times New Roman" w:cs="Times New Roman"/>
          <w:lang w:val="ro-RO"/>
        </w:rPr>
        <w:t>În</w:t>
      </w:r>
      <w:r w:rsidRPr="009A1D6D">
        <w:rPr>
          <w:rStyle w:val="display-block"/>
          <w:rFonts w:ascii="Times New Roman" w:hAnsi="Times New Roman" w:cs="Times New Roman"/>
          <w:lang w:val="ro-RO"/>
        </w:rPr>
        <w:t xml:space="preserve"> perioada 2011-2020</w:t>
      </w:r>
      <w:r>
        <w:rPr>
          <w:rStyle w:val="display-block"/>
          <w:rFonts w:ascii="Times New Roman" w:hAnsi="Times New Roman" w:cs="Times New Roman"/>
          <w:lang w:val="ro-RO"/>
        </w:rPr>
        <w:t xml:space="preserve">, în </w:t>
      </w:r>
      <w:r w:rsidRPr="009A1D6D">
        <w:rPr>
          <w:rStyle w:val="display-block"/>
          <w:rFonts w:ascii="Times New Roman" w:hAnsi="Times New Roman" w:cs="Times New Roman"/>
          <w:lang w:val="ro-RO"/>
        </w:rPr>
        <w:t>UE, rata totală de fertilitate a scăzut  de la 1</w:t>
      </w:r>
      <w:r>
        <w:rPr>
          <w:rStyle w:val="display-block"/>
          <w:rFonts w:ascii="Times New Roman" w:hAnsi="Times New Roman" w:cs="Times New Roman"/>
          <w:lang w:val="ro-RO"/>
        </w:rPr>
        <w:t>.</w:t>
      </w:r>
      <w:r w:rsidRPr="009A1D6D">
        <w:rPr>
          <w:rStyle w:val="display-block"/>
          <w:rFonts w:ascii="Times New Roman" w:hAnsi="Times New Roman" w:cs="Times New Roman"/>
          <w:lang w:val="ro-RO"/>
        </w:rPr>
        <w:t>5</w:t>
      </w:r>
      <w:r>
        <w:rPr>
          <w:rStyle w:val="display-block"/>
          <w:rFonts w:ascii="Times New Roman" w:hAnsi="Times New Roman" w:cs="Times New Roman"/>
          <w:lang w:val="ro-RO"/>
        </w:rPr>
        <w:t>5</w:t>
      </w:r>
      <w:r w:rsidRPr="009A1D6D">
        <w:rPr>
          <w:rStyle w:val="display-block"/>
          <w:rFonts w:ascii="Times New Roman" w:hAnsi="Times New Roman" w:cs="Times New Roman"/>
          <w:lang w:val="ro-RO"/>
        </w:rPr>
        <w:t>‰ în 2011, la 1</w:t>
      </w:r>
      <w:r>
        <w:rPr>
          <w:rStyle w:val="display-block"/>
          <w:rFonts w:ascii="Times New Roman" w:hAnsi="Times New Roman" w:cs="Times New Roman"/>
          <w:lang w:val="ro-RO"/>
        </w:rPr>
        <w:t>.</w:t>
      </w:r>
      <w:r w:rsidRPr="009A1D6D">
        <w:rPr>
          <w:rStyle w:val="display-block"/>
          <w:rFonts w:ascii="Times New Roman" w:hAnsi="Times New Roman" w:cs="Times New Roman"/>
          <w:lang w:val="ro-RO"/>
        </w:rPr>
        <w:t>50‰</w:t>
      </w:r>
      <w:r>
        <w:rPr>
          <w:rStyle w:val="display-block"/>
          <w:rFonts w:ascii="Times New Roman" w:hAnsi="Times New Roman" w:cs="Times New Roman"/>
          <w:lang w:val="ro-RO"/>
        </w:rPr>
        <w:t xml:space="preserve"> (cu 3%)</w:t>
      </w:r>
      <w:r w:rsidRPr="009A1D6D">
        <w:rPr>
          <w:rStyle w:val="display-block"/>
          <w:rFonts w:ascii="Times New Roman" w:hAnsi="Times New Roman" w:cs="Times New Roman"/>
          <w:lang w:val="ro-RO"/>
        </w:rPr>
        <w:t xml:space="preserve"> în 2020, în timp ce în România, a crescut în aceeași perioadă, de la 1</w:t>
      </w:r>
      <w:r>
        <w:rPr>
          <w:rStyle w:val="display-block"/>
          <w:rFonts w:ascii="Times New Roman" w:hAnsi="Times New Roman" w:cs="Times New Roman"/>
          <w:lang w:val="ro-RO"/>
        </w:rPr>
        <w:t>.</w:t>
      </w:r>
      <w:r w:rsidRPr="009A1D6D">
        <w:rPr>
          <w:rStyle w:val="display-block"/>
          <w:rFonts w:ascii="Times New Roman" w:hAnsi="Times New Roman" w:cs="Times New Roman"/>
          <w:lang w:val="ro-RO"/>
        </w:rPr>
        <w:t>47‰ în 2011, la 1</w:t>
      </w:r>
      <w:r>
        <w:rPr>
          <w:rStyle w:val="display-block"/>
          <w:rFonts w:ascii="Times New Roman" w:hAnsi="Times New Roman" w:cs="Times New Roman"/>
          <w:lang w:val="ro-RO"/>
        </w:rPr>
        <w:t>.</w:t>
      </w:r>
      <w:r w:rsidRPr="009A1D6D">
        <w:rPr>
          <w:rStyle w:val="display-block"/>
          <w:rFonts w:ascii="Times New Roman" w:hAnsi="Times New Roman" w:cs="Times New Roman"/>
          <w:lang w:val="ro-RO"/>
        </w:rPr>
        <w:t>80‰</w:t>
      </w:r>
      <w:r w:rsidR="00B0503A">
        <w:rPr>
          <w:rStyle w:val="display-block"/>
          <w:rFonts w:ascii="Times New Roman" w:hAnsi="Times New Roman" w:cs="Times New Roman"/>
          <w:lang w:val="ro-RO"/>
        </w:rPr>
        <w:t xml:space="preserve"> (23%)</w:t>
      </w:r>
      <w:r w:rsidRPr="009A1D6D">
        <w:rPr>
          <w:rStyle w:val="display-block"/>
          <w:rFonts w:ascii="Times New Roman" w:hAnsi="Times New Roman" w:cs="Times New Roman"/>
          <w:lang w:val="ro-RO"/>
        </w:rPr>
        <w:t>.</w:t>
      </w:r>
      <w:r w:rsidR="00BD66BF">
        <w:rPr>
          <w:rStyle w:val="FootnoteReference"/>
          <w:rFonts w:ascii="Times New Roman" w:hAnsi="Times New Roman" w:cs="Times New Roman"/>
          <w:lang w:val="ro-RO"/>
        </w:rPr>
        <w:footnoteReference w:id="8"/>
      </w:r>
    </w:p>
    <w:p w:rsidR="00241A19" w:rsidRPr="00241A19" w:rsidRDefault="00241A19" w:rsidP="009C7F2B">
      <w:pPr>
        <w:shd w:val="clear" w:color="auto" w:fill="FFFFFF"/>
        <w:spacing w:after="0"/>
        <w:jc w:val="both"/>
        <w:rPr>
          <w:rFonts w:ascii="Times New Roman" w:hAnsi="Times New Roman" w:cs="Times New Roman"/>
          <w:b/>
          <w:lang w:val="ro-RO"/>
        </w:rPr>
      </w:pPr>
      <w:r w:rsidRPr="00241A19">
        <w:rPr>
          <w:rFonts w:ascii="Times New Roman" w:hAnsi="Times New Roman" w:cs="Times New Roman"/>
          <w:b/>
          <w:lang w:val="ro-RO"/>
        </w:rPr>
        <w:t xml:space="preserve">Tabel </w:t>
      </w:r>
      <w:r w:rsidR="00FB0095">
        <w:rPr>
          <w:rFonts w:ascii="Times New Roman" w:hAnsi="Times New Roman" w:cs="Times New Roman"/>
          <w:b/>
          <w:lang w:val="ro-RO"/>
        </w:rPr>
        <w:t>2</w:t>
      </w:r>
      <w:r w:rsidRPr="00241A19">
        <w:rPr>
          <w:rFonts w:ascii="Times New Roman" w:hAnsi="Times New Roman" w:cs="Times New Roman"/>
          <w:b/>
          <w:lang w:val="ro-RO"/>
        </w:rPr>
        <w:t>.  Rata specifică de fertilitate la adolescente, UE vs România, 2011-2020,‰</w:t>
      </w:r>
    </w:p>
    <w:tbl>
      <w:tblPr>
        <w:tblW w:w="9495" w:type="dxa"/>
        <w:tblLook w:val="04A0" w:firstRow="1" w:lastRow="0" w:firstColumn="1" w:lastColumn="0" w:noHBand="0" w:noVBand="1"/>
      </w:tblPr>
      <w:tblGrid>
        <w:gridCol w:w="9495"/>
      </w:tblGrid>
      <w:tr w:rsidR="00241A19" w:rsidRPr="00241A19" w:rsidTr="00733F32">
        <w:trPr>
          <w:trHeight w:val="197"/>
        </w:trPr>
        <w:tc>
          <w:tcPr>
            <w:tcW w:w="9495" w:type="dxa"/>
            <w:tcBorders>
              <w:top w:val="nil"/>
              <w:left w:val="nil"/>
              <w:bottom w:val="nil"/>
              <w:right w:val="nil"/>
            </w:tcBorders>
            <w:shd w:val="clear" w:color="auto" w:fill="auto"/>
            <w:noWrap/>
            <w:vAlign w:val="bottom"/>
          </w:tcPr>
          <w:tbl>
            <w:tblPr>
              <w:tblStyle w:val="TableGrid3"/>
              <w:tblpPr w:leftFromText="180" w:rightFromText="180" w:vertAnchor="page" w:horzAnchor="margin" w:tblpXSpec="center" w:tblpY="1"/>
              <w:tblW w:w="5850" w:type="dxa"/>
              <w:tblLook w:val="04A0" w:firstRow="1" w:lastRow="0" w:firstColumn="1" w:lastColumn="0" w:noHBand="0" w:noVBand="1"/>
            </w:tblPr>
            <w:tblGrid>
              <w:gridCol w:w="810"/>
              <w:gridCol w:w="1080"/>
              <w:gridCol w:w="1350"/>
              <w:gridCol w:w="1080"/>
              <w:gridCol w:w="1530"/>
            </w:tblGrid>
            <w:tr w:rsidR="00241A19" w:rsidRPr="00241A19" w:rsidTr="00733F32">
              <w:tc>
                <w:tcPr>
                  <w:tcW w:w="810" w:type="dxa"/>
                  <w:vMerge w:val="restart"/>
                </w:tcPr>
                <w:p w:rsidR="00241A19" w:rsidRPr="00241A19" w:rsidRDefault="00241A19" w:rsidP="00241A19">
                  <w:pPr>
                    <w:jc w:val="center"/>
                    <w:rPr>
                      <w:rFonts w:ascii="Times New Roman" w:eastAsia="Times New Roman" w:hAnsi="Times New Roman" w:cs="Times New Roman"/>
                      <w:b/>
                      <w:sz w:val="20"/>
                      <w:szCs w:val="20"/>
                    </w:rPr>
                  </w:pPr>
                  <w:r w:rsidRPr="00241A19">
                    <w:rPr>
                      <w:rFonts w:ascii="Times New Roman" w:eastAsia="Times New Roman" w:hAnsi="Times New Roman" w:cs="Times New Roman"/>
                      <w:b/>
                      <w:sz w:val="20"/>
                      <w:szCs w:val="20"/>
                    </w:rPr>
                    <w:t>Anul</w:t>
                  </w:r>
                </w:p>
              </w:tc>
              <w:tc>
                <w:tcPr>
                  <w:tcW w:w="2430" w:type="dxa"/>
                  <w:gridSpan w:val="2"/>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UE</w:t>
                  </w:r>
                </w:p>
              </w:tc>
              <w:tc>
                <w:tcPr>
                  <w:tcW w:w="2610" w:type="dxa"/>
                  <w:gridSpan w:val="2"/>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România</w:t>
                  </w:r>
                </w:p>
              </w:tc>
            </w:tr>
            <w:tr w:rsidR="00241A19" w:rsidRPr="00241A19" w:rsidTr="00733F32">
              <w:tc>
                <w:tcPr>
                  <w:tcW w:w="810" w:type="dxa"/>
                  <w:vMerge/>
                </w:tcPr>
                <w:p w:rsidR="00241A19" w:rsidRPr="00241A19" w:rsidRDefault="00241A19" w:rsidP="00241A19">
                  <w:pPr>
                    <w:jc w:val="center"/>
                    <w:rPr>
                      <w:rFonts w:ascii="Times New Roman" w:eastAsia="Times New Roman" w:hAnsi="Times New Roman" w:cs="Times New Roman"/>
                      <w:b/>
                      <w:sz w:val="20"/>
                      <w:szCs w:val="20"/>
                      <w:lang w:val="fr-FR"/>
                    </w:rPr>
                  </w:pPr>
                </w:p>
              </w:tc>
              <w:tc>
                <w:tcPr>
                  <w:tcW w:w="108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10-14 ani</w:t>
                  </w:r>
                </w:p>
              </w:tc>
              <w:tc>
                <w:tcPr>
                  <w:tcW w:w="135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15-19 ani</w:t>
                  </w:r>
                </w:p>
              </w:tc>
              <w:tc>
                <w:tcPr>
                  <w:tcW w:w="108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10-14 ani</w:t>
                  </w:r>
                </w:p>
              </w:tc>
              <w:tc>
                <w:tcPr>
                  <w:tcW w:w="153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15-19 ani</w:t>
                  </w:r>
                </w:p>
              </w:tc>
            </w:tr>
            <w:tr w:rsidR="00241A19" w:rsidRPr="00241A19" w:rsidTr="00733F32">
              <w:trPr>
                <w:trHeight w:val="142"/>
              </w:trPr>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2011</w:t>
                  </w:r>
                </w:p>
              </w:tc>
              <w:tc>
                <w:tcPr>
                  <w:tcW w:w="1080" w:type="dxa"/>
                </w:tcPr>
                <w:p w:rsidR="00241A19" w:rsidRPr="00241A19" w:rsidRDefault="00241A19" w:rsidP="00241A19">
                  <w:pPr>
                    <w:jc w:val="center"/>
                    <w:rPr>
                      <w:rFonts w:ascii="Times New Roman" w:eastAsia="Times New Roman" w:hAnsi="Times New Roman" w:cs="Times New Roman"/>
                      <w:sz w:val="20"/>
                      <w:szCs w:val="20"/>
                      <w:lang w:val="fr-FR"/>
                    </w:rPr>
                  </w:pPr>
                  <w:r w:rsidRPr="00241A19">
                    <w:rPr>
                      <w:rFonts w:ascii="Times New Roman" w:eastAsia="Times New Roman" w:hAnsi="Times New Roman" w:cs="Times New Roman"/>
                      <w:sz w:val="20"/>
                      <w:szCs w:val="20"/>
                      <w:lang w:val="fr-FR"/>
                    </w:rPr>
                    <w:t>0.18</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11.60</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1.41</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37.37</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2012</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0.18</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11.41</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1.49</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37.05</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2013</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0.17</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10.79</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1.36</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34.71</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0.18</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10.64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1.40</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36.25</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2015</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0.17</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10.19</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1.36</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36.32</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2016</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0.17</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10.24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1.42</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37.66</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2017</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0.17</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9.62</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1.49</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37.87</w:t>
                  </w:r>
                </w:p>
              </w:tc>
            </w:tr>
            <w:tr w:rsidR="00241A19" w:rsidRPr="00241A19" w:rsidTr="00733F32">
              <w:trPr>
                <w:trHeight w:val="104"/>
              </w:trPr>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2018</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0.15</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9.04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1.41</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36.37</w:t>
                  </w:r>
                </w:p>
              </w:tc>
            </w:tr>
            <w:tr w:rsidR="00241A19" w:rsidRPr="00241A19" w:rsidTr="00733F32">
              <w:trPr>
                <w:trHeight w:val="135"/>
              </w:trPr>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2019</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0.15</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8.64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1.45</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35.88</w:t>
                  </w:r>
                </w:p>
              </w:tc>
            </w:tr>
            <w:tr w:rsidR="00241A19" w:rsidRPr="00241A19" w:rsidTr="00733F32">
              <w:trPr>
                <w:trHeight w:val="135"/>
              </w:trPr>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2020</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0.14</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8.07</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1.42</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34.98</w:t>
                  </w:r>
                </w:p>
              </w:tc>
            </w:tr>
          </w:tbl>
          <w:p w:rsidR="00241A19" w:rsidRPr="00241A19" w:rsidRDefault="00241A19" w:rsidP="00241A19">
            <w:pPr>
              <w:spacing w:after="0"/>
              <w:jc w:val="both"/>
              <w:rPr>
                <w:rFonts w:ascii="Times New Roman" w:eastAsia="Times New Roman" w:hAnsi="Times New Roman" w:cs="Times New Roman"/>
                <w:lang w:val="fr-FR"/>
              </w:rPr>
            </w:pPr>
          </w:p>
        </w:tc>
      </w:tr>
    </w:tbl>
    <w:p w:rsidR="00241A19" w:rsidRPr="00C935C0" w:rsidRDefault="00241A19" w:rsidP="00241A19">
      <w:pPr>
        <w:spacing w:after="0" w:line="240" w:lineRule="auto"/>
        <w:ind w:firstLine="720"/>
        <w:rPr>
          <w:rFonts w:ascii="Times New Roman" w:eastAsia="Times New Roman" w:hAnsi="Times New Roman" w:cs="Times New Roman"/>
          <w:color w:val="0000FF"/>
          <w:sz w:val="20"/>
          <w:szCs w:val="20"/>
          <w:vertAlign w:val="superscript"/>
          <w:lang w:val="fr-FR"/>
        </w:rPr>
      </w:pPr>
      <w:r w:rsidRPr="002042A2">
        <w:rPr>
          <w:rFonts w:ascii="Times New Roman" w:eastAsia="Times New Roman" w:hAnsi="Times New Roman" w:cs="Times New Roman"/>
          <w:sz w:val="20"/>
          <w:szCs w:val="20"/>
          <w:lang w:val="ro-RO"/>
        </w:rPr>
        <w:t xml:space="preserve">               Sursa: </w:t>
      </w:r>
      <w:r w:rsidR="00D12893" w:rsidRPr="00D12893">
        <w:rPr>
          <w:rFonts w:ascii="Times New Roman" w:eastAsia="Times New Roman" w:hAnsi="Times New Roman" w:cs="Times New Roman"/>
          <w:sz w:val="20"/>
          <w:szCs w:val="20"/>
          <w:lang w:val="ro-RO"/>
        </w:rPr>
        <w:t>https://ec.europa.eu/eurostat/databrowser/view/demo_frate/default/table?lang=en</w:t>
      </w:r>
      <w:r w:rsidR="00C935C0">
        <w:rPr>
          <w:rStyle w:val="FootnoteReference"/>
          <w:rFonts w:ascii="Times New Roman" w:hAnsi="Times New Roman" w:cs="Times New Roman"/>
          <w:color w:val="0000FF"/>
          <w:sz w:val="20"/>
          <w:szCs w:val="20"/>
          <w:u w:val="single"/>
        </w:rPr>
        <w:footnoteReference w:id="9"/>
      </w:r>
    </w:p>
    <w:p w:rsidR="00241A19" w:rsidRPr="00B0503A" w:rsidRDefault="00B0503A" w:rsidP="00722B01">
      <w:pPr>
        <w:shd w:val="clear" w:color="auto" w:fill="FFFFFF"/>
        <w:spacing w:after="0"/>
        <w:jc w:val="both"/>
        <w:rPr>
          <w:rFonts w:ascii="Times New Roman" w:hAnsi="Times New Roman" w:cs="Times New Roman"/>
          <w:lang w:val="ro-RO"/>
        </w:rPr>
      </w:pPr>
      <w:r w:rsidRPr="00B0503A">
        <w:rPr>
          <w:rFonts w:ascii="Times New Roman" w:hAnsi="Times New Roman" w:cs="Times New Roman"/>
          <w:lang w:val="ro-RO"/>
        </w:rPr>
        <w:lastRenderedPageBreak/>
        <w:t xml:space="preserve">În </w:t>
      </w:r>
      <w:r>
        <w:rPr>
          <w:rFonts w:ascii="Times New Roman" w:hAnsi="Times New Roman" w:cs="Times New Roman"/>
          <w:lang w:val="ro-RO"/>
        </w:rPr>
        <w:t xml:space="preserve">UE, </w:t>
      </w:r>
      <w:r w:rsidRPr="00B0503A">
        <w:rPr>
          <w:rFonts w:ascii="Times New Roman" w:hAnsi="Times New Roman" w:cs="Times New Roman"/>
          <w:lang w:val="ro-RO"/>
        </w:rPr>
        <w:t>perioada 2011-2020, fertilitatea înregistrată la adolescentele cu văr</w:t>
      </w:r>
      <w:r w:rsidR="003350EB">
        <w:rPr>
          <w:rFonts w:ascii="Times New Roman" w:hAnsi="Times New Roman" w:cs="Times New Roman"/>
          <w:lang w:val="ro-RO"/>
        </w:rPr>
        <w:t xml:space="preserve">sta cuprinse între 10-14 ani </w:t>
      </w:r>
      <w:r w:rsidRPr="00B0503A">
        <w:rPr>
          <w:rFonts w:ascii="Times New Roman" w:hAnsi="Times New Roman" w:cs="Times New Roman"/>
          <w:lang w:val="ro-RO"/>
        </w:rPr>
        <w:t>a înregistrat o scădere de la 0,18 în 2011, la 0,14 în 2020 (22,2%)</w:t>
      </w:r>
      <w:r w:rsidR="003350EB">
        <w:rPr>
          <w:rFonts w:ascii="Times New Roman" w:hAnsi="Times New Roman" w:cs="Times New Roman"/>
          <w:lang w:val="ro-RO"/>
        </w:rPr>
        <w:t xml:space="preserve"> și de la 11,6 la 8.07 (30,43%) la adolescentele cu vârste cuprinse între </w:t>
      </w:r>
      <w:r w:rsidR="003350EB" w:rsidRPr="00B0503A">
        <w:rPr>
          <w:rFonts w:ascii="Times New Roman" w:hAnsi="Times New Roman" w:cs="Times New Roman"/>
          <w:lang w:val="ro-RO"/>
        </w:rPr>
        <w:t>15-19 ani</w:t>
      </w:r>
      <w:r w:rsidRPr="00B0503A">
        <w:rPr>
          <w:rFonts w:ascii="Times New Roman" w:hAnsi="Times New Roman" w:cs="Times New Roman"/>
          <w:lang w:val="ro-RO"/>
        </w:rPr>
        <w:t xml:space="preserve">. În aceeași perioadă, în România, ratele de fertilitate au înregistrat ușoare creșteri, cu 0,71% la adolescentele 10-14 ani și 6,4% la adolescentele 15-19 ani. </w:t>
      </w:r>
    </w:p>
    <w:p w:rsidR="0062540C" w:rsidRPr="00733F32" w:rsidRDefault="0062540C" w:rsidP="0062540C">
      <w:pPr>
        <w:shd w:val="clear" w:color="auto" w:fill="FFFFFF"/>
        <w:spacing w:after="0"/>
        <w:jc w:val="both"/>
        <w:rPr>
          <w:rFonts w:ascii="Times New Roman" w:hAnsi="Times New Roman" w:cs="Times New Roman"/>
          <w:lang w:val="ro-RO"/>
        </w:rPr>
      </w:pPr>
      <w:r w:rsidRPr="00733F32">
        <w:rPr>
          <w:rFonts w:ascii="Times New Roman" w:hAnsi="Times New Roman" w:cs="Times New Roman"/>
          <w:b/>
          <w:lang w:val="ro-RO"/>
        </w:rPr>
        <w:t xml:space="preserve">Vârsta medie la prima naștere </w:t>
      </w:r>
      <w:r w:rsidRPr="00733F32">
        <w:rPr>
          <w:rFonts w:ascii="Times New Roman" w:hAnsi="Times New Roman" w:cs="Times New Roman"/>
          <w:lang w:val="ro-RO"/>
        </w:rPr>
        <w:t xml:space="preserve">a crescut în UE de la </w:t>
      </w:r>
      <w:r>
        <w:rPr>
          <w:rFonts w:ascii="Times New Roman" w:hAnsi="Times New Roman" w:cs="Times New Roman"/>
          <w:lang w:val="ro-RO"/>
        </w:rPr>
        <w:t>30</w:t>
      </w:r>
      <w:r w:rsidRPr="00733F32">
        <w:rPr>
          <w:rFonts w:ascii="Times New Roman" w:hAnsi="Times New Roman" w:cs="Times New Roman"/>
          <w:lang w:val="ro-RO"/>
        </w:rPr>
        <w:t xml:space="preserve"> ani în 2011, la </w:t>
      </w:r>
      <w:r>
        <w:rPr>
          <w:rFonts w:ascii="Times New Roman" w:hAnsi="Times New Roman" w:cs="Times New Roman"/>
          <w:lang w:val="ro-RO"/>
        </w:rPr>
        <w:t>31</w:t>
      </w:r>
      <w:r w:rsidRPr="00733F32">
        <w:rPr>
          <w:rFonts w:ascii="Times New Roman" w:hAnsi="Times New Roman" w:cs="Times New Roman"/>
          <w:lang w:val="ro-RO"/>
        </w:rPr>
        <w:t xml:space="preserve"> ani în 2020</w:t>
      </w:r>
      <w:r w:rsidR="007F784B">
        <w:rPr>
          <w:rFonts w:ascii="Times New Roman" w:hAnsi="Times New Roman" w:cs="Times New Roman"/>
          <w:lang w:val="ro-RO"/>
        </w:rPr>
        <w:t xml:space="preserve"> (3%)</w:t>
      </w:r>
      <w:r w:rsidRPr="00733F32">
        <w:rPr>
          <w:rFonts w:ascii="Times New Roman" w:hAnsi="Times New Roman" w:cs="Times New Roman"/>
          <w:lang w:val="ro-RO"/>
        </w:rPr>
        <w:t>. În România, vârsta medie la prima naștere a crescut de la 2</w:t>
      </w:r>
      <w:r>
        <w:rPr>
          <w:rFonts w:ascii="Times New Roman" w:hAnsi="Times New Roman" w:cs="Times New Roman"/>
          <w:lang w:val="ro-RO"/>
        </w:rPr>
        <w:t>7,1</w:t>
      </w:r>
      <w:r w:rsidRPr="00733F32">
        <w:rPr>
          <w:rFonts w:ascii="Times New Roman" w:hAnsi="Times New Roman" w:cs="Times New Roman"/>
          <w:lang w:val="ro-RO"/>
        </w:rPr>
        <w:t xml:space="preserve"> ani în 2011, la 2</w:t>
      </w:r>
      <w:r>
        <w:rPr>
          <w:rFonts w:ascii="Times New Roman" w:hAnsi="Times New Roman" w:cs="Times New Roman"/>
          <w:lang w:val="ro-RO"/>
        </w:rPr>
        <w:t>8,2</w:t>
      </w:r>
      <w:r w:rsidRPr="00733F32">
        <w:rPr>
          <w:rFonts w:ascii="Times New Roman" w:hAnsi="Times New Roman" w:cs="Times New Roman"/>
          <w:lang w:val="ro-RO"/>
        </w:rPr>
        <w:t xml:space="preserve"> ani în 2020</w:t>
      </w:r>
      <w:r w:rsidR="007F784B">
        <w:rPr>
          <w:rFonts w:ascii="Times New Roman" w:hAnsi="Times New Roman" w:cs="Times New Roman"/>
          <w:lang w:val="ro-RO"/>
        </w:rPr>
        <w:t xml:space="preserve"> (4,06%)</w:t>
      </w:r>
      <w:r w:rsidRPr="00733F32">
        <w:rPr>
          <w:rFonts w:ascii="Times New Roman" w:hAnsi="Times New Roman" w:cs="Times New Roman"/>
          <w:lang w:val="ro-RO"/>
        </w:rPr>
        <w:t>.</w:t>
      </w:r>
      <w:r w:rsidR="00BD66BF">
        <w:rPr>
          <w:rStyle w:val="FootnoteReference"/>
          <w:rFonts w:ascii="Times New Roman" w:hAnsi="Times New Roman" w:cs="Times New Roman"/>
          <w:lang w:val="ro-RO"/>
        </w:rPr>
        <w:footnoteReference w:id="10"/>
      </w:r>
      <w:r w:rsidRPr="00733F32">
        <w:rPr>
          <w:rFonts w:ascii="Times New Roman" w:hAnsi="Times New Roman" w:cs="Times New Roman"/>
          <w:lang w:val="ro-RO"/>
        </w:rPr>
        <w:t xml:space="preserve"> </w:t>
      </w:r>
    </w:p>
    <w:p w:rsidR="00241A19" w:rsidRPr="009D5D05" w:rsidRDefault="00241A19" w:rsidP="00FA7422">
      <w:pPr>
        <w:shd w:val="clear" w:color="auto" w:fill="FFFFFF"/>
        <w:spacing w:after="0"/>
        <w:jc w:val="both"/>
        <w:rPr>
          <w:rFonts w:ascii="Times New Roman" w:hAnsi="Times New Roman" w:cs="Times New Roman"/>
          <w:b/>
          <w:lang w:val="ro-RO"/>
        </w:rPr>
      </w:pPr>
      <w:r w:rsidRPr="009D5D05">
        <w:rPr>
          <w:rFonts w:ascii="Times New Roman" w:hAnsi="Times New Roman" w:cs="Times New Roman"/>
          <w:b/>
          <w:lang w:val="ro-RO"/>
        </w:rPr>
        <w:t>AVORTURI</w:t>
      </w:r>
    </w:p>
    <w:p w:rsidR="00C935C0" w:rsidRPr="006D0818" w:rsidRDefault="00F05133" w:rsidP="00C935C0">
      <w:pPr>
        <w:spacing w:after="0" w:line="240" w:lineRule="auto"/>
        <w:rPr>
          <w:rFonts w:ascii="Times New Roman" w:hAnsi="Times New Roman" w:cs="Times New Roman"/>
        </w:rPr>
      </w:pPr>
      <w:r w:rsidRPr="0056172D">
        <w:rPr>
          <w:rFonts w:ascii="Times New Roman" w:eastAsiaTheme="minorEastAsia" w:hAnsi="Times New Roman" w:cs="Times New Roman"/>
          <w:lang w:val="ro-RO" w:eastAsia="ro-RO"/>
        </w:rPr>
        <w:t>În perioada 201</w:t>
      </w:r>
      <w:r>
        <w:rPr>
          <w:rFonts w:ascii="Times New Roman" w:eastAsiaTheme="minorEastAsia" w:hAnsi="Times New Roman" w:cs="Times New Roman"/>
          <w:lang w:val="ro-RO" w:eastAsia="ro-RO"/>
        </w:rPr>
        <w:t>3</w:t>
      </w:r>
      <w:r w:rsidRPr="0056172D">
        <w:rPr>
          <w:rFonts w:ascii="Times New Roman" w:eastAsiaTheme="minorEastAsia" w:hAnsi="Times New Roman" w:cs="Times New Roman"/>
          <w:lang w:val="ro-RO" w:eastAsia="ro-RO"/>
        </w:rPr>
        <w:t xml:space="preserve">-2020, se remarcă o scădere a </w:t>
      </w:r>
      <w:r>
        <w:rPr>
          <w:rFonts w:ascii="Times New Roman" w:eastAsiaTheme="minorEastAsia" w:hAnsi="Times New Roman" w:cs="Times New Roman"/>
          <w:lang w:val="ro-RO" w:eastAsia="ro-RO"/>
        </w:rPr>
        <w:t>rate</w:t>
      </w:r>
      <w:r w:rsidR="00315420">
        <w:rPr>
          <w:rFonts w:ascii="Times New Roman" w:eastAsiaTheme="minorEastAsia" w:hAnsi="Times New Roman" w:cs="Times New Roman"/>
          <w:lang w:val="ro-RO" w:eastAsia="ro-RO"/>
        </w:rPr>
        <w:t>lor</w:t>
      </w:r>
      <w:r w:rsidRPr="0056172D">
        <w:rPr>
          <w:rFonts w:ascii="Times New Roman" w:eastAsiaTheme="minorEastAsia" w:hAnsi="Times New Roman" w:cs="Times New Roman"/>
          <w:lang w:val="ro-RO" w:eastAsia="ro-RO"/>
        </w:rPr>
        <w:t xml:space="preserve"> avorturi</w:t>
      </w:r>
      <w:r>
        <w:rPr>
          <w:rFonts w:ascii="Times New Roman" w:eastAsiaTheme="minorEastAsia" w:hAnsi="Times New Roman" w:cs="Times New Roman"/>
          <w:lang w:val="ro-RO" w:eastAsia="ro-RO"/>
        </w:rPr>
        <w:t xml:space="preserve">lor (număr de avorturi ‰ </w:t>
      </w:r>
      <w:r w:rsidR="00582428">
        <w:rPr>
          <w:rFonts w:ascii="Times New Roman" w:eastAsiaTheme="minorEastAsia" w:hAnsi="Times New Roman" w:cs="Times New Roman"/>
          <w:lang w:val="ro-RO" w:eastAsia="ro-RO"/>
        </w:rPr>
        <w:t>femei 15-49 ani</w:t>
      </w:r>
      <w:r>
        <w:rPr>
          <w:rFonts w:ascii="Times New Roman" w:eastAsiaTheme="minorEastAsia" w:hAnsi="Times New Roman" w:cs="Times New Roman"/>
          <w:lang w:val="ro-RO" w:eastAsia="ro-RO"/>
        </w:rPr>
        <w:t>)</w:t>
      </w:r>
      <w:r w:rsidRPr="0056172D">
        <w:rPr>
          <w:rFonts w:ascii="Times New Roman" w:eastAsiaTheme="minorEastAsia" w:hAnsi="Times New Roman" w:cs="Times New Roman"/>
          <w:lang w:val="ro-RO" w:eastAsia="ro-RO"/>
        </w:rPr>
        <w:t xml:space="preserve"> în toate țările UE</w:t>
      </w:r>
      <w:r w:rsidR="00315420">
        <w:rPr>
          <w:rFonts w:ascii="Times New Roman" w:eastAsiaTheme="minorEastAsia" w:hAnsi="Times New Roman" w:cs="Times New Roman"/>
          <w:lang w:val="ro-RO" w:eastAsia="ro-RO"/>
        </w:rPr>
        <w:t>.</w:t>
      </w:r>
      <w:r w:rsidRPr="0056172D">
        <w:rPr>
          <w:rFonts w:ascii="Times New Roman" w:eastAsiaTheme="minorEastAsia" w:hAnsi="Times New Roman" w:cs="Times New Roman"/>
          <w:lang w:val="ro-RO" w:eastAsia="ro-RO"/>
        </w:rPr>
        <w:t xml:space="preserve"> </w:t>
      </w:r>
      <w:r w:rsidR="00315420">
        <w:rPr>
          <w:rFonts w:ascii="Times New Roman" w:eastAsiaTheme="minorEastAsia" w:hAnsi="Times New Roman" w:cs="Times New Roman"/>
          <w:lang w:val="ro-RO" w:eastAsia="ro-RO"/>
        </w:rPr>
        <w:t xml:space="preserve">În România, avorturile au scăzut cu </w:t>
      </w:r>
      <w:r w:rsidRPr="0056172D">
        <w:rPr>
          <w:rFonts w:ascii="Times New Roman" w:eastAsiaTheme="minorEastAsia" w:hAnsi="Times New Roman" w:cs="Times New Roman"/>
          <w:lang w:val="ro-RO" w:eastAsia="ro-RO"/>
        </w:rPr>
        <w:t xml:space="preserve"> </w:t>
      </w:r>
      <w:r w:rsidR="00582428">
        <w:rPr>
          <w:rFonts w:ascii="Times New Roman" w:eastAsiaTheme="minorEastAsia" w:hAnsi="Times New Roman" w:cs="Times New Roman"/>
          <w:lang w:val="ro-RO" w:eastAsia="ro-RO"/>
        </w:rPr>
        <w:t>24</w:t>
      </w:r>
      <w:r w:rsidRPr="0056172D">
        <w:rPr>
          <w:rFonts w:ascii="Times New Roman" w:eastAsiaTheme="minorEastAsia" w:hAnsi="Times New Roman" w:cs="Times New Roman"/>
          <w:lang w:val="ro-RO" w:eastAsia="ro-RO"/>
        </w:rPr>
        <w:t>%</w:t>
      </w:r>
      <w:r w:rsidR="00C935C0">
        <w:rPr>
          <w:rStyle w:val="FootnoteReference"/>
          <w:rFonts w:ascii="Times New Roman" w:eastAsiaTheme="minorEastAsia" w:hAnsi="Times New Roman" w:cs="Times New Roman"/>
          <w:lang w:val="ro-RO" w:eastAsia="ro-RO"/>
        </w:rPr>
        <w:footnoteReference w:id="11"/>
      </w:r>
      <w:r w:rsidR="00315420">
        <w:rPr>
          <w:rFonts w:ascii="Times New Roman" w:eastAsiaTheme="minorEastAsia" w:hAnsi="Times New Roman" w:cs="Times New Roman"/>
          <w:lang w:val="ro-RO" w:eastAsia="ro-RO"/>
        </w:rPr>
        <w:t xml:space="preserve"> </w:t>
      </w:r>
      <w:r w:rsidR="00582428">
        <w:rPr>
          <w:rFonts w:ascii="Times New Roman" w:eastAsiaTheme="minorEastAsia" w:hAnsi="Times New Roman" w:cs="Times New Roman"/>
          <w:lang w:val="ro-RO" w:eastAsia="ro-RO"/>
        </w:rPr>
        <w:t>.</w:t>
      </w:r>
    </w:p>
    <w:p w:rsidR="00CE3C45" w:rsidRDefault="00241A19" w:rsidP="00241A19">
      <w:pPr>
        <w:spacing w:after="0" w:line="240" w:lineRule="auto"/>
        <w:rPr>
          <w:rFonts w:ascii="Times New Roman" w:hAnsi="Times New Roman" w:cs="Times New Roman"/>
          <w:b/>
          <w:lang w:val="ro-RO" w:eastAsia="ro-RO"/>
        </w:rPr>
      </w:pPr>
      <w:r w:rsidRPr="00241A19">
        <w:rPr>
          <w:rFonts w:ascii="Times New Roman" w:hAnsi="Times New Roman" w:cs="Times New Roman"/>
          <w:b/>
          <w:lang w:val="ro-RO" w:eastAsia="ro-RO"/>
        </w:rPr>
        <w:t xml:space="preserve">Figura </w:t>
      </w:r>
      <w:r w:rsidR="006542B2">
        <w:rPr>
          <w:rFonts w:ascii="Times New Roman" w:hAnsi="Times New Roman" w:cs="Times New Roman"/>
          <w:b/>
          <w:lang w:val="ro-RO" w:eastAsia="ro-RO"/>
        </w:rPr>
        <w:t>4</w:t>
      </w:r>
      <w:r w:rsidRPr="00241A19">
        <w:rPr>
          <w:rFonts w:ascii="Times New Roman" w:hAnsi="Times New Roman" w:cs="Times New Roman"/>
          <w:b/>
          <w:lang w:val="ro-RO" w:eastAsia="ro-RO"/>
        </w:rPr>
        <w:t xml:space="preserve">. </w:t>
      </w:r>
      <w:r w:rsidR="00315420">
        <w:rPr>
          <w:rFonts w:ascii="Times New Roman" w:hAnsi="Times New Roman" w:cs="Times New Roman"/>
          <w:b/>
          <w:lang w:val="ro-RO" w:eastAsia="ro-RO"/>
        </w:rPr>
        <w:t>Rata a</w:t>
      </w:r>
      <w:r w:rsidR="00315420" w:rsidRPr="00487D65">
        <w:rPr>
          <w:rFonts w:ascii="Times New Roman" w:hAnsi="Times New Roman" w:cs="Times New Roman"/>
          <w:b/>
          <w:lang w:val="ro-RO" w:eastAsia="ro-RO"/>
        </w:rPr>
        <w:t>vorturi</w:t>
      </w:r>
      <w:r w:rsidR="00315420">
        <w:rPr>
          <w:rFonts w:ascii="Times New Roman" w:hAnsi="Times New Roman" w:cs="Times New Roman"/>
          <w:b/>
          <w:lang w:val="ro-RO" w:eastAsia="ro-RO"/>
        </w:rPr>
        <w:t>lor</w:t>
      </w:r>
      <w:r w:rsidR="00315420" w:rsidRPr="00487D65">
        <w:rPr>
          <w:rFonts w:ascii="Times New Roman" w:hAnsi="Times New Roman" w:cs="Times New Roman"/>
          <w:b/>
          <w:lang w:val="ro-RO" w:eastAsia="ro-RO"/>
        </w:rPr>
        <w:t>, Europa, 201</w:t>
      </w:r>
      <w:r w:rsidR="00315420">
        <w:rPr>
          <w:rFonts w:ascii="Times New Roman" w:hAnsi="Times New Roman" w:cs="Times New Roman"/>
          <w:b/>
          <w:lang w:val="ro-RO" w:eastAsia="ro-RO"/>
        </w:rPr>
        <w:t>3</w:t>
      </w:r>
      <w:r w:rsidR="00315420" w:rsidRPr="00487D65">
        <w:rPr>
          <w:rFonts w:ascii="Times New Roman" w:hAnsi="Times New Roman" w:cs="Times New Roman"/>
          <w:b/>
          <w:lang w:val="ro-RO" w:eastAsia="ro-RO"/>
        </w:rPr>
        <w:t>-20</w:t>
      </w:r>
      <w:r w:rsidR="00315420">
        <w:rPr>
          <w:rFonts w:ascii="Times New Roman" w:hAnsi="Times New Roman" w:cs="Times New Roman"/>
          <w:b/>
          <w:lang w:val="ro-RO" w:eastAsia="ro-RO"/>
        </w:rPr>
        <w:t>20</w:t>
      </w:r>
      <w:r w:rsidR="00315420" w:rsidRPr="00487D65">
        <w:rPr>
          <w:rFonts w:ascii="Times New Roman" w:hAnsi="Times New Roman" w:cs="Times New Roman"/>
          <w:b/>
          <w:lang w:val="ro-RO" w:eastAsia="ro-RO"/>
        </w:rPr>
        <w:t xml:space="preserve"> </w:t>
      </w:r>
      <w:r w:rsidRPr="00241A19">
        <w:rPr>
          <w:rFonts w:ascii="Times New Roman" w:hAnsi="Times New Roman" w:cs="Times New Roman"/>
          <w:b/>
          <w:lang w:val="ro-RO" w:eastAsia="ro-RO"/>
        </w:rPr>
        <w:t xml:space="preserve">(‰ </w:t>
      </w:r>
      <w:r w:rsidR="00AB39A2">
        <w:rPr>
          <w:rFonts w:ascii="Times New Roman" w:hAnsi="Times New Roman" w:cs="Times New Roman"/>
          <w:b/>
          <w:lang w:val="ro-RO" w:eastAsia="ro-RO"/>
        </w:rPr>
        <w:t>femei 15-49 ani</w:t>
      </w:r>
      <w:r w:rsidRPr="00241A19">
        <w:rPr>
          <w:rFonts w:ascii="Times New Roman" w:hAnsi="Times New Roman" w:cs="Times New Roman"/>
          <w:b/>
          <w:lang w:val="ro-RO" w:eastAsia="ro-RO"/>
        </w:rPr>
        <w:t>)</w:t>
      </w:r>
      <w:r w:rsidR="00D85B48">
        <w:rPr>
          <w:rFonts w:ascii="Times New Roman" w:hAnsi="Times New Roman" w:cs="Times New Roman"/>
          <w:b/>
          <w:lang w:val="ro-RO" w:eastAsia="ro-RO"/>
        </w:rPr>
        <w:t xml:space="preserve">       </w:t>
      </w:r>
    </w:p>
    <w:p w:rsidR="00833A6D" w:rsidRDefault="00582428" w:rsidP="00141AC3">
      <w:pPr>
        <w:spacing w:after="0" w:line="240" w:lineRule="auto"/>
        <w:rPr>
          <w:rFonts w:ascii="Times New Roman" w:eastAsiaTheme="minorEastAsia" w:hAnsi="Times New Roman" w:cs="Times New Roman"/>
          <w:lang w:val="ro-RO" w:eastAsia="ro-RO"/>
        </w:rPr>
      </w:pPr>
      <w:r w:rsidRPr="00AE0C52">
        <w:rPr>
          <w:rFonts w:ascii="Times New Roman" w:eastAsiaTheme="minorEastAsia" w:hAnsi="Times New Roman" w:cs="Times New Roman"/>
          <w:noProof/>
          <w:sz w:val="16"/>
          <w:szCs w:val="16"/>
        </w:rPr>
        <w:drawing>
          <wp:inline distT="0" distB="0" distL="0" distR="0" wp14:anchorId="644327C0" wp14:editId="7F58CF02">
            <wp:extent cx="5486400" cy="2676525"/>
            <wp:effectExtent l="0" t="0" r="19050" b="952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35C0" w:rsidRPr="00C935C0" w:rsidRDefault="00DB5D4B" w:rsidP="00C935C0">
      <w:pPr>
        <w:spacing w:after="0" w:line="240" w:lineRule="auto"/>
        <w:rPr>
          <w:rFonts w:ascii="Times New Roman" w:hAnsi="Times New Roman" w:cs="Times New Roman"/>
          <w:sz w:val="20"/>
          <w:szCs w:val="20"/>
          <w:vertAlign w:val="superscript"/>
        </w:rPr>
      </w:pPr>
      <w:r w:rsidRPr="006542B2">
        <w:rPr>
          <w:rFonts w:ascii="Times New Roman" w:hAnsi="Times New Roman" w:cs="Times New Roman"/>
          <w:sz w:val="20"/>
          <w:szCs w:val="20"/>
        </w:rPr>
        <w:t>Sursa:</w:t>
      </w:r>
      <w:r w:rsidRPr="006542B2">
        <w:rPr>
          <w:rFonts w:ascii="Times New Roman" w:hAnsi="Times New Roman" w:cs="Times New Roman"/>
          <w:color w:val="FF0000"/>
          <w:sz w:val="20"/>
          <w:szCs w:val="20"/>
        </w:rPr>
        <w:t xml:space="preserve"> </w:t>
      </w:r>
      <w:r w:rsidR="00137F36" w:rsidRPr="00137F36">
        <w:rPr>
          <w:rFonts w:ascii="Times New Roman" w:hAnsi="Times New Roman" w:cs="Times New Roman"/>
          <w:sz w:val="20"/>
          <w:szCs w:val="20"/>
        </w:rPr>
        <w:t>https://ec.europa.eu/eurostat/databrowser/view/demo_fabortind/default/table?lang=en</w:t>
      </w:r>
      <w:r w:rsidR="00C935C0" w:rsidRPr="00137F36">
        <w:rPr>
          <w:rStyle w:val="Hyperlink"/>
          <w:rFonts w:ascii="Times New Roman" w:hAnsi="Times New Roman" w:cs="Times New Roman"/>
          <w:color w:val="auto"/>
          <w:sz w:val="20"/>
          <w:szCs w:val="20"/>
          <w:vertAlign w:val="superscript"/>
        </w:rPr>
        <w:t>11</w:t>
      </w:r>
    </w:p>
    <w:p w:rsidR="00241A19" w:rsidRDefault="00241A19" w:rsidP="00241A19">
      <w:pPr>
        <w:spacing w:after="0" w:line="240" w:lineRule="auto"/>
        <w:rPr>
          <w:rFonts w:ascii="Times New Roman" w:eastAsia="Times New Roman" w:hAnsi="Times New Roman" w:cs="Times New Roman"/>
          <w:b/>
          <w:lang w:val="fr-FR"/>
        </w:rPr>
      </w:pPr>
      <w:r w:rsidRPr="00241A19">
        <w:rPr>
          <w:rFonts w:ascii="Times New Roman" w:eastAsia="Times New Roman" w:hAnsi="Times New Roman" w:cs="Times New Roman"/>
          <w:b/>
          <w:lang w:val="fr-FR"/>
        </w:rPr>
        <w:t xml:space="preserve">Figura </w:t>
      </w:r>
      <w:r w:rsidR="00FB0095">
        <w:rPr>
          <w:rFonts w:ascii="Times New Roman" w:eastAsia="Times New Roman" w:hAnsi="Times New Roman" w:cs="Times New Roman"/>
          <w:b/>
          <w:lang w:val="fr-FR"/>
        </w:rPr>
        <w:t>5</w:t>
      </w:r>
      <w:r w:rsidRPr="00241A19">
        <w:rPr>
          <w:rFonts w:ascii="Times New Roman" w:eastAsia="Times New Roman" w:hAnsi="Times New Roman" w:cs="Times New Roman"/>
          <w:b/>
          <w:lang w:val="fr-FR"/>
        </w:rPr>
        <w:t>.  Ponderea avorturilor induse la mame sub 15 ani, UE, 2011-2020</w:t>
      </w:r>
      <w:r w:rsidR="00D85B48">
        <w:rPr>
          <w:rFonts w:ascii="Times New Roman" w:eastAsia="Times New Roman" w:hAnsi="Times New Roman" w:cs="Times New Roman"/>
          <w:b/>
          <w:lang w:val="fr-FR"/>
        </w:rPr>
        <w:t xml:space="preserve"> </w:t>
      </w:r>
      <w:r w:rsidR="003C1088">
        <w:rPr>
          <w:rFonts w:ascii="Times New Roman" w:eastAsia="Times New Roman" w:hAnsi="Times New Roman" w:cs="Times New Roman"/>
          <w:b/>
          <w:lang w:val="fr-FR"/>
        </w:rPr>
        <w:t>,</w:t>
      </w:r>
      <w:r w:rsidR="00D85B48">
        <w:rPr>
          <w:rFonts w:ascii="Times New Roman" w:eastAsia="Times New Roman" w:hAnsi="Times New Roman" w:cs="Times New Roman"/>
          <w:b/>
          <w:lang w:val="fr-FR"/>
        </w:rPr>
        <w:t xml:space="preserve"> </w:t>
      </w:r>
      <w:r w:rsidR="003C1088">
        <w:rPr>
          <w:rFonts w:ascii="Times New Roman" w:eastAsia="Times New Roman" w:hAnsi="Times New Roman" w:cs="Times New Roman"/>
          <w:b/>
          <w:lang w:val="fr-FR"/>
        </w:rPr>
        <w:t>%</w:t>
      </w:r>
    </w:p>
    <w:p w:rsidR="002E17C5" w:rsidRDefault="002E17C5" w:rsidP="00241A19">
      <w:pPr>
        <w:spacing w:after="0" w:line="240" w:lineRule="auto"/>
        <w:rPr>
          <w:rFonts w:ascii="Times New Roman" w:eastAsia="Times New Roman" w:hAnsi="Times New Roman" w:cs="Times New Roman"/>
          <w:b/>
          <w:lang w:val="fr-FR"/>
        </w:rPr>
      </w:pPr>
      <w:r w:rsidRPr="001A0CF3">
        <w:rPr>
          <w:rFonts w:ascii="Times New Roman" w:hAnsi="Times New Roman" w:cs="Times New Roman"/>
          <w:b/>
          <w:noProof/>
          <w:color w:val="FF0000"/>
          <w:sz w:val="14"/>
          <w:szCs w:val="14"/>
        </w:rPr>
        <w:drawing>
          <wp:inline distT="0" distB="0" distL="0" distR="0" wp14:anchorId="275C7404" wp14:editId="20DB8C21">
            <wp:extent cx="5610225" cy="27908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1A19" w:rsidRPr="00241A19" w:rsidRDefault="00241A19" w:rsidP="00241A19">
      <w:pPr>
        <w:spacing w:after="0" w:line="240" w:lineRule="auto"/>
        <w:rPr>
          <w:rFonts w:ascii="Times New Roman" w:hAnsi="Times New Roman" w:cs="Times New Roman"/>
          <w:color w:val="0000FF"/>
          <w:sz w:val="20"/>
          <w:szCs w:val="20"/>
        </w:rPr>
      </w:pPr>
      <w:r w:rsidRPr="00241A19">
        <w:rPr>
          <w:rFonts w:ascii="Times New Roman" w:hAnsi="Times New Roman" w:cs="Times New Roman"/>
          <w:sz w:val="20"/>
          <w:szCs w:val="20"/>
        </w:rPr>
        <w:lastRenderedPageBreak/>
        <w:t>Sursa:</w:t>
      </w:r>
      <w:r w:rsidRPr="00241A19">
        <w:rPr>
          <w:rFonts w:ascii="Times New Roman" w:hAnsi="Times New Roman" w:cs="Times New Roman"/>
          <w:color w:val="FF0000"/>
          <w:sz w:val="20"/>
          <w:szCs w:val="20"/>
        </w:rPr>
        <w:t xml:space="preserve"> </w:t>
      </w:r>
      <w:r w:rsidR="000E21D8" w:rsidRPr="000E21D8">
        <w:rPr>
          <w:rFonts w:ascii="Times New Roman" w:hAnsi="Times New Roman" w:cs="Times New Roman"/>
          <w:sz w:val="20"/>
          <w:szCs w:val="20"/>
        </w:rPr>
        <w:t>https://ec.europa.eu/eurostat/databrowser/view/demo_fabort/default/table?lang=en</w:t>
      </w:r>
      <w:r w:rsidR="00C935C0">
        <w:rPr>
          <w:rStyle w:val="FootnoteReference"/>
          <w:rFonts w:ascii="Times New Roman" w:hAnsi="Times New Roman" w:cs="Times New Roman"/>
          <w:color w:val="0000FF"/>
          <w:sz w:val="20"/>
          <w:szCs w:val="20"/>
          <w:u w:val="single"/>
        </w:rPr>
        <w:footnoteReference w:id="12"/>
      </w:r>
    </w:p>
    <w:p w:rsidR="004B7B62" w:rsidRDefault="00C85DB2" w:rsidP="00733F32">
      <w:pPr>
        <w:spacing w:after="0" w:line="240" w:lineRule="auto"/>
        <w:rPr>
          <w:rFonts w:ascii="Times New Roman" w:eastAsia="Times New Roman" w:hAnsi="Times New Roman" w:cs="Times New Roman"/>
          <w:b/>
          <w:lang w:val="fr-FR"/>
        </w:rPr>
      </w:pPr>
      <w:r w:rsidRPr="00D64431">
        <w:rPr>
          <w:rFonts w:ascii="Times New Roman" w:eastAsiaTheme="minorEastAsia" w:hAnsi="Times New Roman" w:cs="Times New Roman"/>
          <w:lang w:val="ro-RO" w:eastAsia="ro-RO"/>
        </w:rPr>
        <w:t xml:space="preserve">În </w:t>
      </w:r>
      <w:r w:rsidR="005A3353">
        <w:rPr>
          <w:rFonts w:ascii="Times New Roman" w:eastAsiaTheme="minorEastAsia" w:hAnsi="Times New Roman" w:cs="Times New Roman"/>
          <w:lang w:val="ro-RO" w:eastAsia="ro-RO"/>
        </w:rPr>
        <w:t xml:space="preserve">perioada 2011-2020, </w:t>
      </w:r>
      <w:r w:rsidR="008B1911">
        <w:rPr>
          <w:rFonts w:ascii="Times New Roman" w:eastAsiaTheme="minorEastAsia" w:hAnsi="Times New Roman" w:cs="Times New Roman"/>
          <w:lang w:val="ro-RO" w:eastAsia="ro-RO"/>
        </w:rPr>
        <w:t xml:space="preserve">în UE, </w:t>
      </w:r>
      <w:r w:rsidR="005A3353">
        <w:rPr>
          <w:rFonts w:ascii="Times New Roman" w:eastAsiaTheme="minorEastAsia" w:hAnsi="Times New Roman" w:cs="Times New Roman"/>
          <w:lang w:val="ro-RO" w:eastAsia="ro-RO"/>
        </w:rPr>
        <w:t>ponderea avorturilor înregistrate la adolescente cu vârste mai mici de 15 ani, a avut valori în creștere</w:t>
      </w:r>
      <w:r w:rsidR="008B1911">
        <w:rPr>
          <w:rFonts w:ascii="Times New Roman" w:eastAsiaTheme="minorEastAsia" w:hAnsi="Times New Roman" w:cs="Times New Roman"/>
          <w:lang w:val="ro-RO" w:eastAsia="ro-RO"/>
        </w:rPr>
        <w:t xml:space="preserve"> cu 11%. În </w:t>
      </w:r>
      <w:r w:rsidRPr="00D64431">
        <w:rPr>
          <w:rFonts w:ascii="Times New Roman" w:eastAsiaTheme="minorEastAsia" w:hAnsi="Times New Roman" w:cs="Times New Roman"/>
          <w:lang w:val="ro-RO" w:eastAsia="ro-RO"/>
        </w:rPr>
        <w:t>România</w:t>
      </w:r>
      <w:r w:rsidR="008B1911">
        <w:rPr>
          <w:rFonts w:ascii="Times New Roman" w:eastAsiaTheme="minorEastAsia" w:hAnsi="Times New Roman" w:cs="Times New Roman"/>
          <w:lang w:val="ro-RO" w:eastAsia="ro-RO"/>
        </w:rPr>
        <w:t>,</w:t>
      </w:r>
      <w:r w:rsidR="008B1911" w:rsidRPr="008B1911">
        <w:rPr>
          <w:rFonts w:ascii="Times New Roman" w:eastAsiaTheme="minorEastAsia" w:hAnsi="Times New Roman" w:cs="Times New Roman"/>
          <w:lang w:val="ro-RO" w:eastAsia="ro-RO"/>
        </w:rPr>
        <w:t xml:space="preserve"> </w:t>
      </w:r>
      <w:r w:rsidR="008B1911">
        <w:rPr>
          <w:rFonts w:ascii="Times New Roman" w:eastAsiaTheme="minorEastAsia" w:hAnsi="Times New Roman" w:cs="Times New Roman"/>
          <w:lang w:val="ro-RO" w:eastAsia="ro-RO"/>
        </w:rPr>
        <w:t>ponderea avorturilor înregistrate la adolescente cu vârste mai mici de</w:t>
      </w:r>
      <w:r w:rsidR="005A3353">
        <w:rPr>
          <w:rFonts w:ascii="Times New Roman" w:eastAsiaTheme="minorEastAsia" w:hAnsi="Times New Roman" w:cs="Times New Roman"/>
          <w:lang w:val="ro-RO" w:eastAsia="ro-RO"/>
        </w:rPr>
        <w:t xml:space="preserve"> </w:t>
      </w:r>
      <w:r w:rsidR="008B1911">
        <w:rPr>
          <w:rFonts w:ascii="Times New Roman" w:eastAsiaTheme="minorEastAsia" w:hAnsi="Times New Roman" w:cs="Times New Roman"/>
          <w:lang w:val="ro-RO" w:eastAsia="ro-RO"/>
        </w:rPr>
        <w:t xml:space="preserve">15 ani a crescut cu </w:t>
      </w:r>
      <w:r w:rsidR="005A3353">
        <w:rPr>
          <w:rFonts w:ascii="Times New Roman" w:eastAsiaTheme="minorEastAsia" w:hAnsi="Times New Roman" w:cs="Times New Roman"/>
          <w:lang w:val="ro-RO" w:eastAsia="ro-RO"/>
        </w:rPr>
        <w:t>31%</w:t>
      </w:r>
      <w:r w:rsidR="008B1911">
        <w:rPr>
          <w:rFonts w:ascii="Times New Roman" w:eastAsiaTheme="minorEastAsia" w:hAnsi="Times New Roman" w:cs="Times New Roman"/>
          <w:lang w:val="ro-RO" w:eastAsia="ro-RO"/>
        </w:rPr>
        <w:t>.</w:t>
      </w:r>
      <w:r w:rsidRPr="00D64431">
        <w:rPr>
          <w:rFonts w:ascii="Times New Roman" w:eastAsiaTheme="minorEastAsia" w:hAnsi="Times New Roman" w:cs="Times New Roman"/>
          <w:lang w:val="ro-RO" w:eastAsia="ro-RO"/>
        </w:rPr>
        <w:t xml:space="preserve"> </w:t>
      </w:r>
    </w:p>
    <w:p w:rsidR="00733F32" w:rsidRDefault="00C62838" w:rsidP="00733F32">
      <w:pPr>
        <w:spacing w:after="0" w:line="240" w:lineRule="auto"/>
        <w:rPr>
          <w:rFonts w:ascii="Times New Roman" w:eastAsia="Times New Roman" w:hAnsi="Times New Roman" w:cs="Times New Roman"/>
          <w:b/>
          <w:lang w:val="fr-FR"/>
        </w:rPr>
      </w:pPr>
      <w:r>
        <w:rPr>
          <w:rFonts w:ascii="Times New Roman" w:eastAsia="Times New Roman" w:hAnsi="Times New Roman" w:cs="Times New Roman"/>
          <w:b/>
          <w:lang w:val="fr-FR"/>
        </w:rPr>
        <w:t xml:space="preserve"> </w:t>
      </w:r>
      <w:r w:rsidR="00733F32" w:rsidRPr="00733F32">
        <w:rPr>
          <w:rFonts w:ascii="Times New Roman" w:eastAsia="Times New Roman" w:hAnsi="Times New Roman" w:cs="Times New Roman"/>
          <w:b/>
          <w:lang w:val="fr-FR"/>
        </w:rPr>
        <w:t xml:space="preserve">Figura </w:t>
      </w:r>
      <w:r w:rsidR="00FB0095">
        <w:rPr>
          <w:rFonts w:ascii="Times New Roman" w:eastAsia="Times New Roman" w:hAnsi="Times New Roman" w:cs="Times New Roman"/>
          <w:b/>
          <w:lang w:val="fr-FR"/>
        </w:rPr>
        <w:t>6</w:t>
      </w:r>
      <w:r w:rsidR="00733F32" w:rsidRPr="00733F32">
        <w:rPr>
          <w:rFonts w:ascii="Times New Roman" w:eastAsia="Times New Roman" w:hAnsi="Times New Roman" w:cs="Times New Roman"/>
          <w:b/>
          <w:lang w:val="fr-FR"/>
        </w:rPr>
        <w:t>. Ponderea avorturilor induse la mame 15-19 ani, UE, 2011-2020</w:t>
      </w:r>
      <w:r w:rsidR="003C1088">
        <w:rPr>
          <w:rFonts w:ascii="Times New Roman" w:eastAsia="Times New Roman" w:hAnsi="Times New Roman" w:cs="Times New Roman"/>
          <w:b/>
          <w:lang w:val="fr-FR"/>
        </w:rPr>
        <w:t>, %</w:t>
      </w:r>
    </w:p>
    <w:p w:rsidR="002E17C5" w:rsidRDefault="002E17C5" w:rsidP="00733F32">
      <w:pPr>
        <w:spacing w:after="0" w:line="240" w:lineRule="auto"/>
        <w:rPr>
          <w:rFonts w:ascii="Times New Roman" w:eastAsia="Times New Roman" w:hAnsi="Times New Roman" w:cs="Times New Roman"/>
          <w:b/>
          <w:lang w:val="fr-FR"/>
        </w:rPr>
      </w:pPr>
      <w:r w:rsidRPr="001A0CF3">
        <w:rPr>
          <w:rFonts w:ascii="Times New Roman" w:hAnsi="Times New Roman" w:cs="Times New Roman"/>
          <w:b/>
          <w:noProof/>
          <w:color w:val="FF0000"/>
          <w:sz w:val="14"/>
          <w:szCs w:val="14"/>
        </w:rPr>
        <w:drawing>
          <wp:inline distT="0" distB="0" distL="0" distR="0" wp14:anchorId="59B8F6CA" wp14:editId="27E07954">
            <wp:extent cx="5857875" cy="30099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3F32" w:rsidRPr="009A179D" w:rsidRDefault="00733F32" w:rsidP="00733F32">
      <w:pPr>
        <w:spacing w:after="0" w:line="240" w:lineRule="auto"/>
        <w:rPr>
          <w:rFonts w:ascii="Times New Roman" w:hAnsi="Times New Roman" w:cs="Times New Roman"/>
          <w:color w:val="FF0000"/>
          <w:sz w:val="20"/>
          <w:szCs w:val="20"/>
          <w:vertAlign w:val="superscript"/>
        </w:rPr>
      </w:pPr>
      <w:r w:rsidRPr="00733F32">
        <w:rPr>
          <w:rFonts w:ascii="Times New Roman" w:hAnsi="Times New Roman" w:cs="Times New Roman"/>
          <w:sz w:val="20"/>
          <w:szCs w:val="20"/>
          <w:lang w:val="fr-FR"/>
        </w:rPr>
        <w:t xml:space="preserve">Sursa: </w:t>
      </w:r>
      <w:r w:rsidR="00C74165" w:rsidRPr="00C74165">
        <w:rPr>
          <w:rFonts w:ascii="Times New Roman" w:hAnsi="Times New Roman" w:cs="Times New Roman"/>
          <w:sz w:val="20"/>
          <w:szCs w:val="20"/>
          <w:lang w:val="fr-FR"/>
        </w:rPr>
        <w:t>https://ec.europa.eu/eurostat/databrowser/view/demo_fabort/default/table?lang=en</w:t>
      </w:r>
      <w:r w:rsidR="009A179D">
        <w:rPr>
          <w:rFonts w:ascii="Times New Roman" w:hAnsi="Times New Roman" w:cs="Times New Roman"/>
          <w:color w:val="0000FF"/>
          <w:sz w:val="20"/>
          <w:szCs w:val="20"/>
          <w:u w:val="single"/>
          <w:vertAlign w:val="superscript"/>
        </w:rPr>
        <w:t>12</w:t>
      </w:r>
    </w:p>
    <w:p w:rsidR="005A3353" w:rsidRPr="005A3353" w:rsidRDefault="00C85DB2" w:rsidP="00621641">
      <w:pPr>
        <w:spacing w:after="0"/>
        <w:jc w:val="both"/>
        <w:rPr>
          <w:rFonts w:ascii="Times New Roman" w:eastAsiaTheme="minorEastAsia" w:hAnsi="Times New Roman" w:cs="Times New Roman"/>
          <w:lang w:val="ro-RO" w:eastAsia="ro-RO"/>
        </w:rPr>
      </w:pPr>
      <w:r w:rsidRPr="00C85DB2">
        <w:rPr>
          <w:rFonts w:ascii="Times New Roman" w:hAnsi="Times New Roman" w:cs="Times New Roman"/>
        </w:rPr>
        <w:t xml:space="preserve">În perioada 2011- 2020, </w:t>
      </w:r>
      <w:r w:rsidR="006216EB">
        <w:rPr>
          <w:rFonts w:ascii="Times New Roman" w:hAnsi="Times New Roman" w:cs="Times New Roman"/>
        </w:rPr>
        <w:t xml:space="preserve">în UE, </w:t>
      </w:r>
      <w:r>
        <w:rPr>
          <w:rFonts w:ascii="Times New Roman" w:hAnsi="Times New Roman" w:cs="Times New Roman"/>
        </w:rPr>
        <w:t>p</w:t>
      </w:r>
      <w:r w:rsidRPr="00C85DB2">
        <w:rPr>
          <w:rFonts w:ascii="Times New Roman" w:hAnsi="Times New Roman" w:cs="Times New Roman"/>
        </w:rPr>
        <w:t>onderea avorturilor înregistare la adolescent</w:t>
      </w:r>
      <w:r w:rsidR="005A3353">
        <w:rPr>
          <w:rFonts w:ascii="Times New Roman" w:hAnsi="Times New Roman" w:cs="Times New Roman"/>
        </w:rPr>
        <w:t>e</w:t>
      </w:r>
      <w:r w:rsidRPr="00C85DB2">
        <w:rPr>
          <w:rFonts w:ascii="Times New Roman" w:hAnsi="Times New Roman" w:cs="Times New Roman"/>
        </w:rPr>
        <w:t xml:space="preserve"> </w:t>
      </w:r>
      <w:r w:rsidR="006216EB">
        <w:rPr>
          <w:rFonts w:ascii="Times New Roman" w:hAnsi="Times New Roman" w:cs="Times New Roman"/>
        </w:rPr>
        <w:t xml:space="preserve">15-19 ani a crescut cu aprox. 6%. În </w:t>
      </w:r>
      <w:r w:rsidR="005A3353">
        <w:rPr>
          <w:rFonts w:ascii="Times New Roman" w:hAnsi="Times New Roman" w:cs="Times New Roman"/>
        </w:rPr>
        <w:t>România</w:t>
      </w:r>
      <w:r w:rsidR="006216EB">
        <w:rPr>
          <w:rFonts w:ascii="Times New Roman" w:hAnsi="Times New Roman" w:cs="Times New Roman"/>
        </w:rPr>
        <w:t>, în aceeași perioadă, p</w:t>
      </w:r>
      <w:r w:rsidR="006216EB" w:rsidRPr="00C85DB2">
        <w:rPr>
          <w:rFonts w:ascii="Times New Roman" w:hAnsi="Times New Roman" w:cs="Times New Roman"/>
        </w:rPr>
        <w:t>onderea avorturilor înregistare la adolescent</w:t>
      </w:r>
      <w:r w:rsidR="006216EB">
        <w:rPr>
          <w:rFonts w:ascii="Times New Roman" w:hAnsi="Times New Roman" w:cs="Times New Roman"/>
        </w:rPr>
        <w:t>e</w:t>
      </w:r>
      <w:r w:rsidR="006216EB" w:rsidRPr="00C85DB2">
        <w:rPr>
          <w:rFonts w:ascii="Times New Roman" w:hAnsi="Times New Roman" w:cs="Times New Roman"/>
        </w:rPr>
        <w:t xml:space="preserve"> </w:t>
      </w:r>
      <w:r w:rsidR="006216EB">
        <w:rPr>
          <w:rFonts w:ascii="Times New Roman" w:hAnsi="Times New Roman" w:cs="Times New Roman"/>
        </w:rPr>
        <w:t xml:space="preserve">15-19 ani a scăzut </w:t>
      </w:r>
      <w:r w:rsidR="005A3353">
        <w:rPr>
          <w:rFonts w:ascii="Times New Roman" w:hAnsi="Times New Roman" w:cs="Times New Roman"/>
        </w:rPr>
        <w:t>cu 7%.</w:t>
      </w:r>
    </w:p>
    <w:p w:rsidR="00733F32" w:rsidRPr="00733F32" w:rsidRDefault="00733F32" w:rsidP="00733F32">
      <w:pPr>
        <w:spacing w:after="0"/>
        <w:rPr>
          <w:rFonts w:ascii="Times New Roman" w:hAnsi="Times New Roman" w:cs="Times New Roman"/>
          <w:b/>
          <w:color w:val="FF0000"/>
          <w:lang w:val="fr-FR"/>
        </w:rPr>
      </w:pPr>
      <w:r w:rsidRPr="00481D00">
        <w:rPr>
          <w:rFonts w:ascii="Times New Roman" w:hAnsi="Times New Roman" w:cs="Times New Roman"/>
          <w:b/>
          <w:lang w:val="fr-FR"/>
        </w:rPr>
        <w:t xml:space="preserve">MORTALITATEA </w:t>
      </w:r>
      <w:r w:rsidRPr="0010783B">
        <w:rPr>
          <w:rFonts w:ascii="Times New Roman" w:hAnsi="Times New Roman" w:cs="Times New Roman"/>
          <w:b/>
          <w:lang w:val="fr-FR"/>
        </w:rPr>
        <w:t xml:space="preserve">MATERNĂ </w:t>
      </w:r>
      <w:r w:rsidRPr="0010783B">
        <w:rPr>
          <w:rFonts w:ascii="Times New Roman" w:eastAsiaTheme="majorEastAsia" w:hAnsi="Times New Roman" w:cs="Times New Roman"/>
          <w:b/>
          <w:bCs/>
          <w:lang w:val="fr-FR"/>
        </w:rPr>
        <w:t>(‰oo născuți vii)</w:t>
      </w:r>
    </w:p>
    <w:p w:rsidR="0053505E" w:rsidRPr="0053505E" w:rsidRDefault="0053505E" w:rsidP="00733F32">
      <w:pPr>
        <w:tabs>
          <w:tab w:val="left" w:pos="0"/>
        </w:tabs>
        <w:spacing w:after="0"/>
        <w:jc w:val="both"/>
        <w:rPr>
          <w:rFonts w:ascii="Times New Roman" w:hAnsi="Times New Roman" w:cs="Times New Roman"/>
          <w:sz w:val="20"/>
          <w:szCs w:val="20"/>
          <w:lang w:val="ro-RO"/>
        </w:rPr>
      </w:pPr>
      <w:r>
        <w:rPr>
          <w:rFonts w:ascii="Times New Roman" w:hAnsi="Times New Roman" w:cs="Times New Roman"/>
          <w:b/>
          <w:sz w:val="20"/>
          <w:szCs w:val="20"/>
          <w:lang w:val="fr-FR"/>
        </w:rPr>
        <w:t>Fig</w:t>
      </w:r>
      <w:r w:rsidR="00FB0095">
        <w:rPr>
          <w:rFonts w:ascii="Times New Roman" w:hAnsi="Times New Roman" w:cs="Times New Roman"/>
          <w:b/>
          <w:sz w:val="20"/>
          <w:szCs w:val="20"/>
          <w:lang w:val="fr-FR"/>
        </w:rPr>
        <w:t>7</w:t>
      </w:r>
      <w:r>
        <w:rPr>
          <w:rFonts w:ascii="Times New Roman" w:hAnsi="Times New Roman" w:cs="Times New Roman"/>
          <w:b/>
          <w:sz w:val="20"/>
          <w:szCs w:val="20"/>
          <w:lang w:val="fr-FR"/>
        </w:rPr>
        <w:t xml:space="preserve">    Mortalitatea maternă, </w:t>
      </w:r>
      <w:r w:rsidRPr="0053505E">
        <w:rPr>
          <w:rFonts w:ascii="Times New Roman" w:hAnsi="Times New Roman" w:cs="Times New Roman"/>
          <w:b/>
          <w:sz w:val="20"/>
          <w:szCs w:val="20"/>
          <w:lang w:val="fr-FR"/>
        </w:rPr>
        <w:t>Europa,  2010, 2015, 2017  (‰oo născuți vii)</w:t>
      </w:r>
    </w:p>
    <w:p w:rsidR="0053505E" w:rsidRDefault="0053505E" w:rsidP="00733F32">
      <w:pPr>
        <w:tabs>
          <w:tab w:val="left" w:pos="0"/>
        </w:tabs>
        <w:spacing w:after="0"/>
        <w:jc w:val="both"/>
        <w:rPr>
          <w:rFonts w:ascii="Times New Roman" w:hAnsi="Times New Roman" w:cs="Times New Roman"/>
          <w:color w:val="FF0000"/>
          <w:sz w:val="20"/>
          <w:szCs w:val="20"/>
          <w:lang w:val="ro-RO"/>
        </w:rPr>
      </w:pPr>
      <w:r w:rsidRPr="00B81274">
        <w:rPr>
          <w:noProof/>
          <w:sz w:val="28"/>
          <w:szCs w:val="28"/>
        </w:rPr>
        <w:lastRenderedPageBreak/>
        <w:drawing>
          <wp:inline distT="0" distB="0" distL="0" distR="0" wp14:anchorId="51F43099" wp14:editId="1FF94A4E">
            <wp:extent cx="6200775" cy="37052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179D" w:rsidRDefault="009A179D" w:rsidP="009A179D">
      <w:pPr>
        <w:tabs>
          <w:tab w:val="left" w:pos="0"/>
        </w:tabs>
        <w:spacing w:after="0"/>
        <w:jc w:val="both"/>
        <w:rPr>
          <w:rStyle w:val="Hyperlink"/>
          <w:rFonts w:ascii="Times New Roman" w:hAnsi="Times New Roman" w:cs="Times New Roman"/>
          <w:sz w:val="20"/>
          <w:szCs w:val="20"/>
          <w:u w:val="none"/>
        </w:rPr>
      </w:pPr>
      <w:r w:rsidRPr="00733F32">
        <w:rPr>
          <w:rFonts w:ascii="Times New Roman" w:hAnsi="Times New Roman" w:cs="Times New Roman"/>
          <w:sz w:val="20"/>
          <w:szCs w:val="20"/>
          <w:lang w:val="fr-FR"/>
        </w:rPr>
        <w:t xml:space="preserve">Sursa: </w:t>
      </w:r>
      <w:hyperlink r:id="rId19" w:history="1">
        <w:r w:rsidR="000E21D8" w:rsidRPr="00A24B98">
          <w:rPr>
            <w:rStyle w:val="Hyperlink"/>
            <w:rFonts w:ascii="Times New Roman" w:hAnsi="Times New Roman" w:cs="Times New Roman"/>
            <w:sz w:val="20"/>
            <w:szCs w:val="20"/>
          </w:rPr>
          <w:t>https://www.who.int/data/gho/data/themes/maternal-and-reproductive-health/maternal-mortality-country-profiles</w:t>
        </w:r>
      </w:hyperlink>
      <w:r>
        <w:rPr>
          <w:rStyle w:val="FootnoteReference"/>
          <w:rFonts w:ascii="Times New Roman" w:hAnsi="Times New Roman" w:cs="Times New Roman"/>
          <w:color w:val="0000FF"/>
          <w:sz w:val="20"/>
          <w:szCs w:val="20"/>
          <w:u w:val="single"/>
        </w:rPr>
        <w:footnoteReference w:id="13"/>
      </w:r>
      <w:r w:rsidRPr="00087DD6">
        <w:rPr>
          <w:rStyle w:val="Hyperlink"/>
          <w:rFonts w:ascii="Times New Roman" w:hAnsi="Times New Roman" w:cs="Times New Roman"/>
          <w:sz w:val="20"/>
          <w:szCs w:val="20"/>
        </w:rPr>
        <w:t>,</w:t>
      </w:r>
      <w:r w:rsidRPr="009A179D">
        <w:rPr>
          <w:rStyle w:val="Hyperlink"/>
          <w:rFonts w:ascii="Times New Roman" w:hAnsi="Times New Roman" w:cs="Times New Roman"/>
          <w:sz w:val="20"/>
          <w:szCs w:val="20"/>
          <w:u w:val="none"/>
        </w:rPr>
        <w:t xml:space="preserve"> </w:t>
      </w:r>
    </w:p>
    <w:p w:rsidR="009A179D" w:rsidRPr="00087DD6" w:rsidRDefault="00131E62" w:rsidP="009A179D">
      <w:pPr>
        <w:tabs>
          <w:tab w:val="left" w:pos="0"/>
        </w:tabs>
        <w:spacing w:after="0"/>
        <w:jc w:val="both"/>
        <w:rPr>
          <w:rFonts w:ascii="Times New Roman" w:hAnsi="Times New Roman" w:cs="Times New Roman"/>
          <w:color w:val="FF0000"/>
          <w:sz w:val="20"/>
          <w:szCs w:val="20"/>
          <w:lang w:val="ro-RO"/>
        </w:rPr>
      </w:pPr>
      <w:hyperlink r:id="rId20" w:history="1">
        <w:r w:rsidR="009A179D" w:rsidRPr="00087DD6">
          <w:rPr>
            <w:rStyle w:val="Hyperlink"/>
            <w:rFonts w:ascii="Times New Roman" w:hAnsi="Times New Roman" w:cs="Times New Roman"/>
            <w:sz w:val="20"/>
            <w:szCs w:val="20"/>
            <w:lang w:val="ro-RO"/>
          </w:rPr>
          <w:t>https://www.statista.com/statistics/1240400/maternal-mortality-rates-worldwide-by-country/</w:t>
        </w:r>
      </w:hyperlink>
      <w:r w:rsidR="009A179D">
        <w:rPr>
          <w:rStyle w:val="FootnoteReference"/>
          <w:rFonts w:ascii="Times New Roman" w:hAnsi="Times New Roman" w:cs="Times New Roman"/>
          <w:color w:val="0000FF"/>
          <w:sz w:val="20"/>
          <w:szCs w:val="20"/>
          <w:u w:val="single"/>
          <w:lang w:val="ro-RO"/>
        </w:rPr>
        <w:footnoteReference w:id="14"/>
      </w:r>
      <w:r w:rsidR="009A179D" w:rsidRPr="00087DD6">
        <w:rPr>
          <w:rFonts w:ascii="Times New Roman" w:hAnsi="Times New Roman" w:cs="Times New Roman"/>
          <w:color w:val="FF0000"/>
          <w:sz w:val="20"/>
          <w:szCs w:val="20"/>
          <w:lang w:val="ro-RO"/>
        </w:rPr>
        <w:t>,</w:t>
      </w:r>
    </w:p>
    <w:p w:rsidR="009A179D" w:rsidRDefault="00131E62" w:rsidP="009A179D">
      <w:pPr>
        <w:tabs>
          <w:tab w:val="left" w:pos="0"/>
        </w:tabs>
        <w:spacing w:after="0"/>
        <w:jc w:val="both"/>
        <w:rPr>
          <w:rStyle w:val="Hyperlink"/>
          <w:rFonts w:ascii="Times New Roman" w:hAnsi="Times New Roman" w:cs="Times New Roman"/>
          <w:sz w:val="20"/>
          <w:szCs w:val="20"/>
          <w:lang w:val="ro-RO"/>
        </w:rPr>
      </w:pPr>
      <w:hyperlink r:id="rId21" w:history="1">
        <w:r w:rsidR="009A179D" w:rsidRPr="00087DD6">
          <w:rPr>
            <w:rStyle w:val="Hyperlink"/>
            <w:rFonts w:ascii="Times New Roman" w:hAnsi="Times New Roman" w:cs="Times New Roman"/>
            <w:sz w:val="20"/>
            <w:szCs w:val="20"/>
            <w:lang w:val="ro-RO"/>
          </w:rPr>
          <w:t>https://umbalk.org/wp-content/uploads/2021/09/08.THE-EVOLUTION-OF-MATERNAL-MORTALITY-IN-ROMANIA.pdf</w:t>
        </w:r>
      </w:hyperlink>
      <w:r w:rsidR="009A179D">
        <w:rPr>
          <w:rStyle w:val="FootnoteReference"/>
          <w:rFonts w:ascii="Times New Roman" w:hAnsi="Times New Roman" w:cs="Times New Roman"/>
          <w:color w:val="0000FF"/>
          <w:sz w:val="20"/>
          <w:szCs w:val="20"/>
          <w:u w:val="single"/>
          <w:lang w:val="ro-RO"/>
        </w:rPr>
        <w:footnoteReference w:id="15"/>
      </w:r>
    </w:p>
    <w:p w:rsidR="001E4C6A" w:rsidRPr="001E4C6A" w:rsidRDefault="001E4C6A" w:rsidP="009A179D">
      <w:pPr>
        <w:tabs>
          <w:tab w:val="left" w:pos="0"/>
        </w:tabs>
        <w:spacing w:after="0"/>
        <w:jc w:val="both"/>
        <w:rPr>
          <w:rStyle w:val="Hyperlink"/>
          <w:rFonts w:ascii="Times New Roman" w:hAnsi="Times New Roman" w:cs="Times New Roman"/>
          <w:color w:val="auto"/>
          <w:sz w:val="20"/>
          <w:szCs w:val="20"/>
          <w:u w:val="none"/>
          <w:lang w:val="ro-RO"/>
        </w:rPr>
      </w:pPr>
      <w:r>
        <w:rPr>
          <w:rStyle w:val="Hyperlink"/>
          <w:rFonts w:ascii="Times New Roman" w:hAnsi="Times New Roman" w:cs="Times New Roman"/>
          <w:color w:val="auto"/>
          <w:sz w:val="20"/>
          <w:szCs w:val="20"/>
          <w:u w:val="none"/>
          <w:lang w:val="ro-RO"/>
        </w:rPr>
        <w:t>În 2017, m</w:t>
      </w:r>
      <w:r w:rsidRPr="001E4C6A">
        <w:rPr>
          <w:rStyle w:val="Hyperlink"/>
          <w:rFonts w:ascii="Times New Roman" w:hAnsi="Times New Roman" w:cs="Times New Roman"/>
          <w:color w:val="auto"/>
          <w:sz w:val="20"/>
          <w:szCs w:val="20"/>
          <w:u w:val="none"/>
          <w:lang w:val="ro-RO"/>
        </w:rPr>
        <w:t xml:space="preserve">ortalitatea maternă </w:t>
      </w:r>
      <w:r>
        <w:rPr>
          <w:rStyle w:val="Hyperlink"/>
          <w:rFonts w:ascii="Times New Roman" w:hAnsi="Times New Roman" w:cs="Times New Roman"/>
          <w:color w:val="auto"/>
          <w:sz w:val="20"/>
          <w:szCs w:val="20"/>
          <w:u w:val="none"/>
          <w:lang w:val="ro-RO"/>
        </w:rPr>
        <w:t xml:space="preserve">a înregistrat valori scăzute față de 2010 cu aprox. 47%. În România, valorile mortalității materne au scăzut în aceeași perioadă cu aprox. 30%. Față de media UE, ăn România, mortalitatea maternă a înregistrat valori mai mari atît în anul 2010, 2015 cât și în  2017. </w:t>
      </w:r>
    </w:p>
    <w:p w:rsidR="00733F32" w:rsidRPr="00733F32" w:rsidRDefault="00733F32" w:rsidP="009A179D">
      <w:pPr>
        <w:tabs>
          <w:tab w:val="left" w:pos="0"/>
        </w:tabs>
        <w:spacing w:after="0"/>
        <w:jc w:val="both"/>
        <w:rPr>
          <w:rFonts w:ascii="Times New Roman" w:hAnsi="Times New Roman" w:cs="Times New Roman"/>
          <w:lang w:val="ro-RO"/>
        </w:rPr>
      </w:pPr>
      <w:r w:rsidRPr="00733F32">
        <w:rPr>
          <w:rFonts w:ascii="Times New Roman" w:hAnsi="Times New Roman" w:cs="Times New Roman"/>
          <w:lang w:val="ro-RO"/>
        </w:rPr>
        <w:t xml:space="preserve">În </w:t>
      </w:r>
      <w:r w:rsidR="009738DD">
        <w:rPr>
          <w:rFonts w:ascii="Times New Roman" w:hAnsi="Times New Roman" w:cs="Times New Roman"/>
          <w:lang w:val="ro-RO"/>
        </w:rPr>
        <w:t>UE, în perioada 2000-</w:t>
      </w:r>
      <w:r w:rsidRPr="00733F32">
        <w:rPr>
          <w:rFonts w:ascii="Times New Roman" w:hAnsi="Times New Roman" w:cs="Times New Roman"/>
          <w:lang w:val="ro-RO"/>
        </w:rPr>
        <w:t>201</w:t>
      </w:r>
      <w:r w:rsidR="009738DD">
        <w:rPr>
          <w:rFonts w:ascii="Times New Roman" w:hAnsi="Times New Roman" w:cs="Times New Roman"/>
          <w:lang w:val="ro-RO"/>
        </w:rPr>
        <w:t>9</w:t>
      </w:r>
      <w:r w:rsidRPr="00733F32">
        <w:rPr>
          <w:rFonts w:ascii="Times New Roman" w:hAnsi="Times New Roman" w:cs="Times New Roman"/>
          <w:lang w:val="ro-RO"/>
        </w:rPr>
        <w:t xml:space="preserve">, </w:t>
      </w:r>
      <w:r w:rsidR="009738DD">
        <w:rPr>
          <w:rFonts w:ascii="Times New Roman" w:hAnsi="Times New Roman" w:cs="Times New Roman"/>
          <w:lang w:val="ro-RO"/>
        </w:rPr>
        <w:t xml:space="preserve">ratele de mortalitate maternă a scăzut cu </w:t>
      </w:r>
      <w:r w:rsidR="00343D9E" w:rsidRPr="00343D9E">
        <w:rPr>
          <w:rFonts w:ascii="Times New Roman" w:hAnsi="Times New Roman" w:cs="Times New Roman"/>
          <w:b/>
          <w:lang w:val="ro-RO"/>
        </w:rPr>
        <w:t>6</w:t>
      </w:r>
      <w:r w:rsidR="009738DD" w:rsidRPr="00343D9E">
        <w:rPr>
          <w:rFonts w:ascii="Times New Roman" w:hAnsi="Times New Roman" w:cs="Times New Roman"/>
          <w:b/>
          <w:lang w:val="ro-RO"/>
        </w:rPr>
        <w:t>0%</w:t>
      </w:r>
      <w:r w:rsidR="009738DD">
        <w:rPr>
          <w:rFonts w:ascii="Times New Roman" w:hAnsi="Times New Roman" w:cs="Times New Roman"/>
          <w:lang w:val="ro-RO"/>
        </w:rPr>
        <w:t xml:space="preserve">. În </w:t>
      </w:r>
      <w:r w:rsidRPr="00733F32">
        <w:rPr>
          <w:rFonts w:ascii="Times New Roman" w:hAnsi="Times New Roman" w:cs="Times New Roman"/>
          <w:lang w:val="ro-RO"/>
        </w:rPr>
        <w:t>România</w:t>
      </w:r>
      <w:r w:rsidR="009738DD">
        <w:rPr>
          <w:rFonts w:ascii="Times New Roman" w:hAnsi="Times New Roman" w:cs="Times New Roman"/>
          <w:lang w:val="ro-RO"/>
        </w:rPr>
        <w:t xml:space="preserve">, în aceeași perioadă, mortalitatea maternă a înregistrat valori scăzute cu aprox. </w:t>
      </w:r>
      <w:r w:rsidR="009738DD" w:rsidRPr="00343D9E">
        <w:rPr>
          <w:rFonts w:ascii="Times New Roman" w:hAnsi="Times New Roman" w:cs="Times New Roman"/>
          <w:b/>
          <w:lang w:val="ro-RO"/>
        </w:rPr>
        <w:t>80%</w:t>
      </w:r>
      <w:r w:rsidR="009738DD">
        <w:rPr>
          <w:rFonts w:ascii="Times New Roman" w:hAnsi="Times New Roman" w:cs="Times New Roman"/>
          <w:lang w:val="ro-RO"/>
        </w:rPr>
        <w:t>.</w:t>
      </w:r>
      <w:r w:rsidRPr="00733F32">
        <w:rPr>
          <w:rFonts w:ascii="Times New Roman" w:hAnsi="Times New Roman" w:cs="Times New Roman"/>
          <w:lang w:val="ro-RO"/>
        </w:rPr>
        <w:t xml:space="preserve">  </w:t>
      </w:r>
    </w:p>
    <w:p w:rsidR="0093465E" w:rsidRDefault="008F04D6" w:rsidP="0093465E">
      <w:pPr>
        <w:spacing w:after="0"/>
        <w:rPr>
          <w:rFonts w:ascii="Times New Roman" w:hAnsi="Times New Roman" w:cs="Times New Roman"/>
          <w:sz w:val="28"/>
          <w:szCs w:val="28"/>
        </w:rPr>
      </w:pPr>
      <w:r w:rsidRPr="00B32CFB">
        <w:rPr>
          <w:rFonts w:ascii="Times New Roman" w:hAnsi="Times New Roman" w:cs="Times New Roman"/>
          <w:b/>
          <w:lang w:val="ro-RO" w:eastAsia="ro-RO"/>
        </w:rPr>
        <w:t xml:space="preserve">Figura </w:t>
      </w:r>
      <w:r w:rsidR="00FB0095">
        <w:rPr>
          <w:rFonts w:ascii="Times New Roman" w:hAnsi="Times New Roman" w:cs="Times New Roman"/>
          <w:b/>
          <w:lang w:val="ro-RO" w:eastAsia="ro-RO"/>
        </w:rPr>
        <w:t>8</w:t>
      </w:r>
      <w:r w:rsidRPr="00B32CFB">
        <w:rPr>
          <w:rFonts w:ascii="Times New Roman" w:hAnsi="Times New Roman" w:cs="Times New Roman"/>
          <w:b/>
          <w:lang w:val="ro-RO" w:eastAsia="ro-RO"/>
        </w:rPr>
        <w:t>. Mortalitatea maternă, România vs. UE, 2000- 201</w:t>
      </w:r>
      <w:r>
        <w:rPr>
          <w:rFonts w:ascii="Times New Roman" w:hAnsi="Times New Roman" w:cs="Times New Roman"/>
          <w:b/>
          <w:lang w:val="ro-RO" w:eastAsia="ro-RO"/>
        </w:rPr>
        <w:t>9</w:t>
      </w:r>
      <w:r w:rsidRPr="00B32CFB">
        <w:rPr>
          <w:rFonts w:ascii="Times New Roman" w:hAnsi="Times New Roman" w:cs="Times New Roman"/>
          <w:b/>
          <w:lang w:val="ro-RO" w:eastAsia="ro-RO"/>
        </w:rPr>
        <w:t xml:space="preserve"> (‰oo născuți vii)</w:t>
      </w:r>
    </w:p>
    <w:p w:rsidR="0093465E" w:rsidRDefault="008F04D6" w:rsidP="0093465E">
      <w:pPr>
        <w:spacing w:after="0"/>
        <w:rPr>
          <w:rFonts w:ascii="Times New Roman" w:hAnsi="Times New Roman" w:cs="Times New Roman"/>
          <w:sz w:val="28"/>
          <w:szCs w:val="28"/>
        </w:rPr>
      </w:pPr>
      <w:r w:rsidRPr="00316EF8">
        <w:rPr>
          <w:rFonts w:ascii="Times New Roman" w:hAnsi="Times New Roman" w:cs="Times New Roman"/>
          <w:b/>
          <w:noProof/>
          <w:color w:val="FF0000"/>
        </w:rPr>
        <w:drawing>
          <wp:inline distT="0" distB="0" distL="0" distR="0" wp14:anchorId="63E3213C" wp14:editId="1B7EF4A2">
            <wp:extent cx="5486400" cy="12096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04D6" w:rsidRPr="0099484D" w:rsidRDefault="008F04D6" w:rsidP="008F04D6">
      <w:pPr>
        <w:tabs>
          <w:tab w:val="left" w:pos="0"/>
        </w:tabs>
        <w:spacing w:after="0"/>
        <w:jc w:val="both"/>
        <w:rPr>
          <w:rFonts w:ascii="Times New Roman" w:hAnsi="Times New Roman" w:cs="Times New Roman"/>
          <w:color w:val="0000FF"/>
          <w:sz w:val="20"/>
          <w:szCs w:val="20"/>
          <w:vertAlign w:val="superscript"/>
        </w:rPr>
      </w:pPr>
      <w:r w:rsidRPr="008F04D6">
        <w:rPr>
          <w:rFonts w:ascii="Times New Roman" w:hAnsi="Times New Roman" w:cs="Times New Roman"/>
          <w:b/>
          <w:sz w:val="20"/>
          <w:szCs w:val="20"/>
          <w:lang w:val="fr-FR"/>
        </w:rPr>
        <w:t xml:space="preserve">Sursa: </w:t>
      </w:r>
      <w:hyperlink r:id="rId23" w:history="1">
        <w:r w:rsidRPr="008F04D6">
          <w:rPr>
            <w:rFonts w:ascii="Times New Roman" w:hAnsi="Times New Roman" w:cs="Times New Roman"/>
            <w:color w:val="0000FF"/>
            <w:sz w:val="20"/>
            <w:szCs w:val="20"/>
            <w:u w:val="single"/>
          </w:rPr>
          <w:t>https://www.who.int/data/gho/data/themes/maternal-and-reproductive-health/maternal-mortality-country-profiles</w:t>
        </w:r>
      </w:hyperlink>
      <w:r w:rsidR="0099484D">
        <w:rPr>
          <w:rFonts w:ascii="Times New Roman" w:hAnsi="Times New Roman" w:cs="Times New Roman"/>
          <w:color w:val="0000FF"/>
          <w:sz w:val="20"/>
          <w:szCs w:val="20"/>
          <w:u w:val="single"/>
          <w:vertAlign w:val="superscript"/>
        </w:rPr>
        <w:t>13</w:t>
      </w:r>
    </w:p>
    <w:p w:rsidR="006E47E3" w:rsidRDefault="006E47E3" w:rsidP="0093465E">
      <w:pPr>
        <w:spacing w:after="0"/>
        <w:rPr>
          <w:rFonts w:ascii="Times New Roman" w:hAnsi="Times New Roman" w:cs="Times New Roman"/>
          <w:sz w:val="28"/>
          <w:szCs w:val="28"/>
        </w:rPr>
      </w:pPr>
      <w:r w:rsidRPr="00733F32">
        <w:rPr>
          <w:rFonts w:ascii="Times New Roman" w:hAnsi="Times New Roman" w:cs="Times New Roman"/>
          <w:lang w:val="ro-RO"/>
        </w:rPr>
        <w:lastRenderedPageBreak/>
        <w:t>Comparativ cu media pe UE, în România, mortalitatea maternă era în 20</w:t>
      </w:r>
      <w:r>
        <w:rPr>
          <w:rFonts w:ascii="Times New Roman" w:hAnsi="Times New Roman" w:cs="Times New Roman"/>
          <w:lang w:val="ro-RO"/>
        </w:rPr>
        <w:t>00</w:t>
      </w:r>
      <w:r w:rsidRPr="00733F32">
        <w:rPr>
          <w:rFonts w:ascii="Times New Roman" w:hAnsi="Times New Roman" w:cs="Times New Roman"/>
          <w:lang w:val="ro-RO"/>
        </w:rPr>
        <w:t xml:space="preserve"> mai mare cu aprox. </w:t>
      </w:r>
      <w:r>
        <w:rPr>
          <w:rFonts w:ascii="Times New Roman" w:hAnsi="Times New Roman" w:cs="Times New Roman"/>
          <w:lang w:val="ro-RO"/>
        </w:rPr>
        <w:t>63</w:t>
      </w:r>
      <w:r w:rsidRPr="00733F32">
        <w:rPr>
          <w:rFonts w:ascii="Times New Roman" w:hAnsi="Times New Roman" w:cs="Times New Roman"/>
          <w:lang w:val="ro-RO"/>
        </w:rPr>
        <w:t xml:space="preserve">% </w:t>
      </w:r>
      <w:r>
        <w:rPr>
          <w:rFonts w:ascii="Times New Roman" w:hAnsi="Times New Roman" w:cs="Times New Roman"/>
          <w:lang w:val="ro-RO"/>
        </w:rPr>
        <w:t xml:space="preserve">iar în 2019, cu </w:t>
      </w:r>
      <w:r w:rsidR="00A82049">
        <w:rPr>
          <w:rFonts w:ascii="Times New Roman" w:hAnsi="Times New Roman" w:cs="Times New Roman"/>
          <w:lang w:val="ro-RO"/>
        </w:rPr>
        <w:t>32</w:t>
      </w:r>
      <w:r>
        <w:rPr>
          <w:rFonts w:ascii="Times New Roman" w:hAnsi="Times New Roman" w:cs="Times New Roman"/>
          <w:lang w:val="ro-RO"/>
        </w:rPr>
        <w:t>%.</w:t>
      </w:r>
    </w:p>
    <w:p w:rsidR="0093465E" w:rsidRDefault="0093465E" w:rsidP="0093465E">
      <w:pPr>
        <w:spacing w:after="0"/>
        <w:rPr>
          <w:rFonts w:ascii="Times New Roman" w:hAnsi="Times New Roman" w:cs="Times New Roman"/>
          <w:b/>
        </w:rPr>
      </w:pPr>
      <w:r w:rsidRPr="001563CD">
        <w:rPr>
          <w:rFonts w:ascii="Times New Roman" w:hAnsi="Times New Roman" w:cs="Times New Roman"/>
          <w:b/>
        </w:rPr>
        <w:t>M</w:t>
      </w:r>
      <w:r w:rsidR="001563CD" w:rsidRPr="001563CD">
        <w:rPr>
          <w:rFonts w:ascii="Times New Roman" w:hAnsi="Times New Roman" w:cs="Times New Roman"/>
          <w:b/>
        </w:rPr>
        <w:t>ORTALITATE INFANTILĂ</w:t>
      </w:r>
    </w:p>
    <w:p w:rsidR="00290759" w:rsidRDefault="00290759" w:rsidP="00810BE8">
      <w:pPr>
        <w:spacing w:after="0"/>
        <w:jc w:val="both"/>
        <w:rPr>
          <w:rFonts w:ascii="Times New Roman" w:hAnsi="Times New Roman" w:cs="Times New Roman"/>
        </w:rPr>
      </w:pPr>
      <w:r>
        <w:rPr>
          <w:rFonts w:ascii="Times New Roman" w:hAnsi="Times New Roman" w:cs="Times New Roman"/>
        </w:rPr>
        <w:t>În perioada 2011-2019, p</w:t>
      </w:r>
      <w:r w:rsidRPr="00290759">
        <w:rPr>
          <w:rFonts w:ascii="Times New Roman" w:hAnsi="Times New Roman" w:cs="Times New Roman"/>
        </w:rPr>
        <w:t xml:space="preserve">onderea deceselor neonatale înregistrate în cazul </w:t>
      </w:r>
      <w:r>
        <w:rPr>
          <w:rFonts w:ascii="Times New Roman" w:hAnsi="Times New Roman" w:cs="Times New Roman"/>
        </w:rPr>
        <w:t>mamelor cu vârste cuprinse între 15-19</w:t>
      </w:r>
      <w:r w:rsidR="000C3136">
        <w:rPr>
          <w:rFonts w:ascii="Times New Roman" w:hAnsi="Times New Roman" w:cs="Times New Roman"/>
        </w:rPr>
        <w:t xml:space="preserve"> ani a fost mai mare decât media UE (Tabel 4).</w:t>
      </w:r>
    </w:p>
    <w:p w:rsidR="000C3136" w:rsidRDefault="00290759" w:rsidP="00810BE8">
      <w:pPr>
        <w:spacing w:after="0"/>
        <w:jc w:val="both"/>
        <w:rPr>
          <w:rFonts w:ascii="Times New Roman" w:hAnsi="Times New Roman" w:cs="Times New Roman"/>
        </w:rPr>
      </w:pPr>
      <w:r>
        <w:rPr>
          <w:rFonts w:ascii="Times New Roman" w:hAnsi="Times New Roman" w:cs="Times New Roman"/>
        </w:rPr>
        <w:t>În anul 2011, p</w:t>
      </w:r>
      <w:r w:rsidRPr="00290759">
        <w:rPr>
          <w:rFonts w:ascii="Times New Roman" w:hAnsi="Times New Roman" w:cs="Times New Roman"/>
        </w:rPr>
        <w:t xml:space="preserve">onderea deceselor neonatale înregistrate în cazul </w:t>
      </w:r>
      <w:r>
        <w:rPr>
          <w:rFonts w:ascii="Times New Roman" w:hAnsi="Times New Roman" w:cs="Times New Roman"/>
        </w:rPr>
        <w:t>mamelor cu vârste cuprinse între 15-19 ani a fost mai mare în România față de UE cu 75% (sub 1 zi), cu 59% (1-6 zile) și cu 66% (7-27 zile).</w:t>
      </w:r>
    </w:p>
    <w:p w:rsidR="00290759" w:rsidRPr="00290759" w:rsidRDefault="000C3136" w:rsidP="00810BE8">
      <w:pPr>
        <w:spacing w:after="0"/>
        <w:jc w:val="both"/>
        <w:rPr>
          <w:rFonts w:ascii="Times New Roman" w:hAnsi="Times New Roman" w:cs="Times New Roman"/>
        </w:rPr>
      </w:pPr>
      <w:r>
        <w:rPr>
          <w:rFonts w:ascii="Times New Roman" w:hAnsi="Times New Roman" w:cs="Times New Roman"/>
        </w:rPr>
        <w:t>În perioada 2011-2017, p</w:t>
      </w:r>
      <w:r w:rsidRPr="00290759">
        <w:rPr>
          <w:rFonts w:ascii="Times New Roman" w:hAnsi="Times New Roman" w:cs="Times New Roman"/>
        </w:rPr>
        <w:t xml:space="preserve">onderea deceselor neonatale înregistrate în cazul </w:t>
      </w:r>
      <w:r>
        <w:rPr>
          <w:rFonts w:ascii="Times New Roman" w:hAnsi="Times New Roman" w:cs="Times New Roman"/>
        </w:rPr>
        <w:t>mamelor cu vârste cuprinse între 15-19 ani a înregistrat scăderi cu 23% (sub 1 zi), respectiv 14% (1-6 zile) și 34% (7-27 zile), iar în România, a înregistrat creșteri cu 44%, 59% și respective 44%.</w:t>
      </w:r>
    </w:p>
    <w:p w:rsidR="00B95369" w:rsidRDefault="008F04D6" w:rsidP="00B95369">
      <w:pPr>
        <w:spacing w:after="0"/>
        <w:rPr>
          <w:rFonts w:ascii="Times New Roman" w:hAnsi="Times New Roman" w:cs="Times New Roman"/>
        </w:rPr>
      </w:pPr>
      <w:r w:rsidRPr="008F04D6">
        <w:rPr>
          <w:rFonts w:ascii="Times New Roman" w:hAnsi="Times New Roman" w:cs="Times New Roman"/>
          <w:b/>
        </w:rPr>
        <w:t>Tabel</w:t>
      </w:r>
      <w:r w:rsidR="00FB0095">
        <w:rPr>
          <w:rFonts w:ascii="Times New Roman" w:hAnsi="Times New Roman" w:cs="Times New Roman"/>
          <w:b/>
        </w:rPr>
        <w:t xml:space="preserve"> 3</w:t>
      </w:r>
      <w:r w:rsidRPr="008F04D6">
        <w:rPr>
          <w:rFonts w:ascii="Times New Roman" w:hAnsi="Times New Roman" w:cs="Times New Roman"/>
          <w:b/>
          <w:color w:val="FF0000"/>
        </w:rPr>
        <w:t xml:space="preserve">. </w:t>
      </w:r>
      <w:r w:rsidR="00B95369" w:rsidRPr="005E082F">
        <w:rPr>
          <w:rFonts w:ascii="Times New Roman" w:hAnsi="Times New Roman" w:cs="Times New Roman"/>
          <w:b/>
        </w:rPr>
        <w:t>Ponderea d</w:t>
      </w:r>
      <w:r w:rsidR="00290759" w:rsidRPr="005E082F">
        <w:rPr>
          <w:rFonts w:ascii="Times New Roman" w:hAnsi="Times New Roman" w:cs="Times New Roman"/>
          <w:b/>
        </w:rPr>
        <w:t>e</w:t>
      </w:r>
      <w:r w:rsidR="00B95369" w:rsidRPr="005E082F">
        <w:rPr>
          <w:rFonts w:ascii="Times New Roman" w:hAnsi="Times New Roman" w:cs="Times New Roman"/>
          <w:b/>
        </w:rPr>
        <w:t>cese</w:t>
      </w:r>
      <w:r w:rsidR="001563CD" w:rsidRPr="005E082F">
        <w:rPr>
          <w:rFonts w:ascii="Times New Roman" w:hAnsi="Times New Roman" w:cs="Times New Roman"/>
          <w:b/>
        </w:rPr>
        <w:t>lor neonatale</w:t>
      </w:r>
      <w:r w:rsidR="00290759" w:rsidRPr="005E082F">
        <w:rPr>
          <w:rFonts w:ascii="Times New Roman" w:hAnsi="Times New Roman" w:cs="Times New Roman"/>
          <w:b/>
        </w:rPr>
        <w:t xml:space="preserve">  î</w:t>
      </w:r>
      <w:r w:rsidR="001563CD" w:rsidRPr="005E082F">
        <w:rPr>
          <w:rFonts w:ascii="Times New Roman" w:hAnsi="Times New Roman" w:cs="Times New Roman"/>
          <w:b/>
        </w:rPr>
        <w:t xml:space="preserve">n </w:t>
      </w:r>
      <w:r w:rsidR="00290759" w:rsidRPr="005E082F">
        <w:rPr>
          <w:rFonts w:ascii="Times New Roman" w:hAnsi="Times New Roman" w:cs="Times New Roman"/>
          <w:b/>
        </w:rPr>
        <w:t>UE</w:t>
      </w:r>
      <w:r w:rsidR="001563CD" w:rsidRPr="005E082F">
        <w:rPr>
          <w:rFonts w:ascii="Times New Roman" w:hAnsi="Times New Roman" w:cs="Times New Roman"/>
          <w:b/>
        </w:rPr>
        <w:t>, comparativ</w:t>
      </w:r>
      <w:r w:rsidR="00B95369" w:rsidRPr="005E082F">
        <w:rPr>
          <w:rFonts w:ascii="Times New Roman" w:hAnsi="Times New Roman" w:cs="Times New Roman"/>
          <w:b/>
        </w:rPr>
        <w:t xml:space="preserve"> cu Rom</w:t>
      </w:r>
      <w:r w:rsidR="00290759" w:rsidRPr="005E082F">
        <w:rPr>
          <w:rFonts w:ascii="Times New Roman" w:hAnsi="Times New Roman" w:cs="Times New Roman"/>
          <w:b/>
        </w:rPr>
        <w:t>â</w:t>
      </w:r>
      <w:r w:rsidR="00B95369" w:rsidRPr="005E082F">
        <w:rPr>
          <w:rFonts w:ascii="Times New Roman" w:hAnsi="Times New Roman" w:cs="Times New Roman"/>
          <w:b/>
        </w:rPr>
        <w:t xml:space="preserve">nia, </w:t>
      </w:r>
      <w:r w:rsidR="00290759" w:rsidRPr="005E082F">
        <w:rPr>
          <w:rFonts w:ascii="Times New Roman" w:hAnsi="Times New Roman" w:cs="Times New Roman"/>
          <w:b/>
        </w:rPr>
        <w:t>î</w:t>
      </w:r>
      <w:r w:rsidR="00B95369" w:rsidRPr="005E082F">
        <w:rPr>
          <w:rFonts w:ascii="Times New Roman" w:hAnsi="Times New Roman" w:cs="Times New Roman"/>
          <w:b/>
        </w:rPr>
        <w:t>n perioada 2011-2019</w:t>
      </w:r>
    </w:p>
    <w:tbl>
      <w:tblPr>
        <w:tblStyle w:val="TableGrid1"/>
        <w:tblW w:w="0" w:type="auto"/>
        <w:tblInd w:w="198" w:type="dxa"/>
        <w:tblLook w:val="04A0" w:firstRow="1" w:lastRow="0" w:firstColumn="1" w:lastColumn="0" w:noHBand="0" w:noVBand="1"/>
      </w:tblPr>
      <w:tblGrid>
        <w:gridCol w:w="1530"/>
        <w:gridCol w:w="630"/>
        <w:gridCol w:w="900"/>
        <w:gridCol w:w="900"/>
        <w:gridCol w:w="986"/>
        <w:gridCol w:w="994"/>
        <w:gridCol w:w="990"/>
        <w:gridCol w:w="990"/>
      </w:tblGrid>
      <w:tr w:rsidR="008F04D6" w:rsidRPr="008F04D6" w:rsidTr="003F23F1">
        <w:tc>
          <w:tcPr>
            <w:tcW w:w="1530" w:type="dxa"/>
            <w:vMerge w:val="restart"/>
          </w:tcPr>
          <w:p w:rsidR="008F04D6" w:rsidRPr="008F04D6" w:rsidRDefault="008F04D6" w:rsidP="008F04D6">
            <w:pPr>
              <w:jc w:val="center"/>
              <w:rPr>
                <w:rFonts w:ascii="Times New Roman" w:hAnsi="Times New Roman" w:cs="Times New Roman"/>
                <w:b/>
                <w:sz w:val="20"/>
                <w:szCs w:val="20"/>
              </w:rPr>
            </w:pPr>
            <w:r w:rsidRPr="008F04D6">
              <w:rPr>
                <w:rFonts w:ascii="Times New Roman" w:hAnsi="Times New Roman" w:cs="Times New Roman"/>
                <w:b/>
                <w:sz w:val="20"/>
                <w:szCs w:val="20"/>
              </w:rPr>
              <w:t>Grupa de vârstă a mamei</w:t>
            </w:r>
          </w:p>
        </w:tc>
        <w:tc>
          <w:tcPr>
            <w:tcW w:w="630" w:type="dxa"/>
            <w:vMerge w:val="restart"/>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Ani</w:t>
            </w:r>
          </w:p>
        </w:tc>
        <w:tc>
          <w:tcPr>
            <w:tcW w:w="2786" w:type="dxa"/>
            <w:gridSpan w:val="3"/>
          </w:tcPr>
          <w:p w:rsidR="008F04D6" w:rsidRPr="008F04D6" w:rsidRDefault="008F04D6" w:rsidP="008F04D6">
            <w:pPr>
              <w:jc w:val="center"/>
              <w:rPr>
                <w:rFonts w:ascii="Times New Roman" w:hAnsi="Times New Roman" w:cs="Times New Roman"/>
                <w:b/>
                <w:sz w:val="20"/>
                <w:szCs w:val="20"/>
              </w:rPr>
            </w:pPr>
            <w:r w:rsidRPr="008F04D6">
              <w:rPr>
                <w:rFonts w:ascii="Times New Roman" w:hAnsi="Times New Roman" w:cs="Times New Roman"/>
                <w:b/>
                <w:sz w:val="20"/>
                <w:szCs w:val="20"/>
              </w:rPr>
              <w:t>UE</w:t>
            </w:r>
          </w:p>
        </w:tc>
        <w:tc>
          <w:tcPr>
            <w:tcW w:w="2974" w:type="dxa"/>
            <w:gridSpan w:val="3"/>
          </w:tcPr>
          <w:p w:rsidR="008F04D6" w:rsidRPr="008F04D6" w:rsidRDefault="008F04D6" w:rsidP="008F04D6">
            <w:pPr>
              <w:jc w:val="center"/>
              <w:rPr>
                <w:rFonts w:ascii="Times New Roman" w:hAnsi="Times New Roman" w:cs="Times New Roman"/>
                <w:b/>
                <w:sz w:val="20"/>
                <w:szCs w:val="20"/>
              </w:rPr>
            </w:pPr>
            <w:r w:rsidRPr="008F04D6">
              <w:rPr>
                <w:rFonts w:ascii="Times New Roman" w:hAnsi="Times New Roman" w:cs="Times New Roman"/>
                <w:b/>
                <w:sz w:val="20"/>
                <w:szCs w:val="20"/>
              </w:rPr>
              <w:t>România</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vMerge/>
          </w:tcPr>
          <w:p w:rsidR="008F04D6" w:rsidRPr="008F04D6" w:rsidRDefault="008F04D6" w:rsidP="008F04D6">
            <w:pPr>
              <w:rPr>
                <w:rFonts w:ascii="Times New Roman" w:hAnsi="Times New Roman" w:cs="Times New Roman"/>
                <w:b/>
                <w:sz w:val="20"/>
                <w:szCs w:val="20"/>
              </w:rPr>
            </w:pPr>
          </w:p>
        </w:tc>
        <w:tc>
          <w:tcPr>
            <w:tcW w:w="90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sub 1 zi</w:t>
            </w:r>
          </w:p>
        </w:tc>
        <w:tc>
          <w:tcPr>
            <w:tcW w:w="90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1-6 zile</w:t>
            </w:r>
          </w:p>
        </w:tc>
        <w:tc>
          <w:tcPr>
            <w:tcW w:w="986"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7-27 zile</w:t>
            </w:r>
          </w:p>
        </w:tc>
        <w:tc>
          <w:tcPr>
            <w:tcW w:w="994"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sub 1 zi</w:t>
            </w:r>
          </w:p>
        </w:tc>
        <w:tc>
          <w:tcPr>
            <w:tcW w:w="99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1-6 zile</w:t>
            </w:r>
          </w:p>
        </w:tc>
        <w:tc>
          <w:tcPr>
            <w:tcW w:w="99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7-27 zile</w:t>
            </w:r>
          </w:p>
        </w:tc>
      </w:tr>
      <w:tr w:rsidR="008F04D6" w:rsidRPr="008F04D6" w:rsidTr="003F23F1">
        <w:tc>
          <w:tcPr>
            <w:tcW w:w="1530" w:type="dxa"/>
            <w:vMerge w:val="restart"/>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15-19 ani</w:t>
            </w: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2011</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3.06</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3.29</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3.48</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12.43</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8.04</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10.29</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2012</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3.50</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3.08</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3.43</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8.47</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9.54</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10.86</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2013</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2.66</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2.99</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3.27</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10.75</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8.74</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7.55</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2014</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2.28</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3.31</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3.40</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9.63</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11.71</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13.71</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2015</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2.63</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3.50</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2.84</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14.94</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11.95</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13.03</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2016</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2.46</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3.11</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2.65</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11.73</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8.72</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11.55</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2017</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2.37</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2.84</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3.28</w:t>
            </w:r>
          </w:p>
        </w:tc>
        <w:tc>
          <w:tcPr>
            <w:tcW w:w="994" w:type="dxa"/>
          </w:tcPr>
          <w:p w:rsidR="008F04D6" w:rsidRPr="000C3136" w:rsidRDefault="008F04D6" w:rsidP="008F04D6">
            <w:pPr>
              <w:jc w:val="center"/>
              <w:rPr>
                <w:rFonts w:ascii="Times New Roman" w:hAnsi="Times New Roman" w:cs="Times New Roman"/>
                <w:b/>
                <w:sz w:val="20"/>
                <w:szCs w:val="20"/>
              </w:rPr>
            </w:pPr>
            <w:r w:rsidRPr="000C3136">
              <w:rPr>
                <w:rFonts w:ascii="Times New Roman" w:hAnsi="Times New Roman" w:cs="Times New Roman"/>
                <w:b/>
                <w:sz w:val="20"/>
                <w:szCs w:val="20"/>
              </w:rPr>
              <w:t>17.91</w:t>
            </w:r>
          </w:p>
        </w:tc>
        <w:tc>
          <w:tcPr>
            <w:tcW w:w="990" w:type="dxa"/>
          </w:tcPr>
          <w:p w:rsidR="008F04D6" w:rsidRPr="000C3136" w:rsidRDefault="008F04D6" w:rsidP="008F04D6">
            <w:pPr>
              <w:jc w:val="center"/>
              <w:rPr>
                <w:rFonts w:ascii="Times New Roman" w:hAnsi="Times New Roman" w:cs="Times New Roman"/>
                <w:b/>
                <w:sz w:val="20"/>
                <w:szCs w:val="20"/>
              </w:rPr>
            </w:pPr>
            <w:r w:rsidRPr="000C3136">
              <w:rPr>
                <w:rFonts w:ascii="Times New Roman" w:hAnsi="Times New Roman" w:cs="Times New Roman"/>
                <w:b/>
                <w:sz w:val="20"/>
                <w:szCs w:val="20"/>
              </w:rPr>
              <w:t>12.78</w:t>
            </w:r>
          </w:p>
        </w:tc>
        <w:tc>
          <w:tcPr>
            <w:tcW w:w="990" w:type="dxa"/>
          </w:tcPr>
          <w:p w:rsidR="008F04D6" w:rsidRPr="000C3136" w:rsidRDefault="008F04D6" w:rsidP="008F04D6">
            <w:pPr>
              <w:jc w:val="center"/>
              <w:rPr>
                <w:rFonts w:ascii="Times New Roman" w:hAnsi="Times New Roman" w:cs="Times New Roman"/>
                <w:b/>
                <w:sz w:val="20"/>
                <w:szCs w:val="20"/>
              </w:rPr>
            </w:pPr>
            <w:r w:rsidRPr="000C3136">
              <w:rPr>
                <w:rFonts w:ascii="Times New Roman" w:hAnsi="Times New Roman" w:cs="Times New Roman"/>
                <w:b/>
                <w:sz w:val="20"/>
                <w:szCs w:val="20"/>
              </w:rPr>
              <w:t>14.81</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2018</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6.33</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11.51</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13.19</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2019</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12.5</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10.41</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12.32</w:t>
            </w:r>
          </w:p>
        </w:tc>
      </w:tr>
    </w:tbl>
    <w:p w:rsidR="008F04D6" w:rsidRPr="008F04D6" w:rsidRDefault="008F04D6" w:rsidP="008F04D6">
      <w:pPr>
        <w:spacing w:after="0"/>
        <w:rPr>
          <w:rFonts w:ascii="Times New Roman" w:hAnsi="Times New Roman" w:cs="Times New Roman"/>
          <w:sz w:val="20"/>
          <w:szCs w:val="20"/>
        </w:rPr>
      </w:pPr>
      <w:r w:rsidRPr="008F04D6">
        <w:rPr>
          <w:rFonts w:ascii="Times New Roman" w:hAnsi="Times New Roman" w:cs="Times New Roman"/>
          <w:sz w:val="20"/>
          <w:szCs w:val="20"/>
        </w:rPr>
        <w:t xml:space="preserve">Sursa: </w:t>
      </w:r>
      <w:r w:rsidR="00983EA6" w:rsidRPr="00983EA6">
        <w:rPr>
          <w:rFonts w:ascii="Times New Roman" w:hAnsi="Times New Roman" w:cs="Times New Roman"/>
          <w:sz w:val="20"/>
          <w:szCs w:val="20"/>
        </w:rPr>
        <w:t>https://ec.europa.eu/eurostat/databrowser/view/demo_minfs/default/table?lang=en</w:t>
      </w:r>
      <w:r w:rsidR="0099484D">
        <w:rPr>
          <w:rStyle w:val="FootnoteReference"/>
          <w:rFonts w:ascii="Times New Roman" w:hAnsi="Times New Roman" w:cs="Times New Roman"/>
          <w:color w:val="0000FF"/>
          <w:sz w:val="20"/>
          <w:szCs w:val="20"/>
          <w:u w:val="single"/>
        </w:rPr>
        <w:footnoteReference w:id="16"/>
      </w:r>
    </w:p>
    <w:p w:rsidR="003F23F1" w:rsidRPr="00E13211" w:rsidRDefault="003F23F1" w:rsidP="00E13211">
      <w:pPr>
        <w:shd w:val="clear" w:color="auto" w:fill="FFFFFF"/>
        <w:spacing w:after="0"/>
        <w:jc w:val="both"/>
        <w:rPr>
          <w:rFonts w:ascii="Times New Roman" w:hAnsi="Times New Roman" w:cs="Times New Roman"/>
          <w:b/>
          <w:u w:val="single"/>
        </w:rPr>
      </w:pPr>
      <w:r w:rsidRPr="00E13211">
        <w:rPr>
          <w:rFonts w:ascii="Times New Roman" w:hAnsi="Times New Roman" w:cs="Times New Roman"/>
          <w:b/>
          <w:u w:val="single"/>
        </w:rPr>
        <w:t>ROMÂNIA</w:t>
      </w:r>
    </w:p>
    <w:p w:rsidR="003F23F1" w:rsidRPr="003F23F1" w:rsidRDefault="003F23F1" w:rsidP="003F23F1">
      <w:pPr>
        <w:spacing w:after="0" w:line="0" w:lineRule="atLeast"/>
        <w:rPr>
          <w:rFonts w:ascii="Times New Roman" w:hAnsi="Times New Roman" w:cs="Times New Roman"/>
          <w:b/>
          <w:color w:val="0000FF"/>
          <w:lang w:val="ro-RO"/>
        </w:rPr>
      </w:pPr>
      <w:r w:rsidRPr="003F23F1">
        <w:rPr>
          <w:rFonts w:ascii="Times New Roman" w:eastAsia="Cambria" w:hAnsi="Times New Roman" w:cs="Times New Roman"/>
        </w:rPr>
        <w:t>Natalitatea a fost de 8,2‰ în 2021, în scădere de la 9‰ în 2012 (</w:t>
      </w:r>
      <w:r w:rsidR="002C5433">
        <w:rPr>
          <w:rFonts w:ascii="Times New Roman" w:eastAsia="Cambria" w:hAnsi="Times New Roman" w:cs="Times New Roman"/>
        </w:rPr>
        <w:t>aprox. 10%)</w:t>
      </w:r>
      <w:r w:rsidRPr="003F23F1">
        <w:rPr>
          <w:rFonts w:ascii="Times New Roman" w:eastAsia="Cambria" w:hAnsi="Times New Roman" w:cs="Times New Roman"/>
        </w:rPr>
        <w:t>.</w:t>
      </w:r>
    </w:p>
    <w:tbl>
      <w:tblPr>
        <w:tblStyle w:val="TableGrid3"/>
        <w:tblW w:w="5000" w:type="pct"/>
        <w:tblLook w:val="04A0" w:firstRow="1" w:lastRow="0" w:firstColumn="1" w:lastColumn="0" w:noHBand="0" w:noVBand="1"/>
      </w:tblPr>
      <w:tblGrid>
        <w:gridCol w:w="1066"/>
        <w:gridCol w:w="851"/>
        <w:gridCol w:w="851"/>
        <w:gridCol w:w="851"/>
        <w:gridCol w:w="851"/>
        <w:gridCol w:w="851"/>
        <w:gridCol w:w="851"/>
        <w:gridCol w:w="851"/>
        <w:gridCol w:w="851"/>
        <w:gridCol w:w="851"/>
        <w:gridCol w:w="851"/>
      </w:tblGrid>
      <w:tr w:rsidR="003F23F1" w:rsidRPr="003F23F1" w:rsidTr="003F23F1">
        <w:tc>
          <w:tcPr>
            <w:tcW w:w="0" w:type="auto"/>
            <w:gridSpan w:val="11"/>
            <w:tcBorders>
              <w:top w:val="nil"/>
              <w:left w:val="nil"/>
              <w:bottom w:val="single" w:sz="4" w:space="0" w:color="auto"/>
              <w:right w:val="nil"/>
            </w:tcBorders>
            <w:hideMark/>
          </w:tcPr>
          <w:p w:rsidR="003F23F1" w:rsidRPr="003F23F1" w:rsidRDefault="003F23F1" w:rsidP="00FB0095">
            <w:pPr>
              <w:rPr>
                <w:rFonts w:ascii="Times New Roman" w:eastAsia="Times New Roman" w:hAnsi="Times New Roman" w:cs="Times New Roman"/>
                <w:b/>
              </w:rPr>
            </w:pPr>
            <w:r w:rsidRPr="003F23F1">
              <w:rPr>
                <w:rFonts w:ascii="Times New Roman" w:eastAsia="Times New Roman" w:hAnsi="Times New Roman" w:cs="Times New Roman"/>
                <w:b/>
              </w:rPr>
              <w:t xml:space="preserve">Tabel </w:t>
            </w:r>
            <w:r w:rsidR="00FB0095">
              <w:rPr>
                <w:rFonts w:ascii="Times New Roman" w:eastAsia="Times New Roman" w:hAnsi="Times New Roman" w:cs="Times New Roman"/>
                <w:b/>
              </w:rPr>
              <w:t>4</w:t>
            </w:r>
            <w:r w:rsidRPr="003F23F1">
              <w:rPr>
                <w:rFonts w:ascii="Times New Roman" w:eastAsia="Times New Roman" w:hAnsi="Times New Roman" w:cs="Times New Roman"/>
                <w:b/>
              </w:rPr>
              <w:t>. Natalitatea în perioada 2012-2021 (‰ locuitori)</w:t>
            </w:r>
          </w:p>
        </w:tc>
      </w:tr>
      <w:tr w:rsidR="003F23F1" w:rsidRPr="003F23F1" w:rsidTr="003F23F1">
        <w:tc>
          <w:tcPr>
            <w:tcW w:w="0" w:type="auto"/>
            <w:vMerge w:val="restart"/>
            <w:tcBorders>
              <w:top w:val="single" w:sz="4" w:space="0" w:color="auto"/>
            </w:tcBorders>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Mediu</w:t>
            </w:r>
          </w:p>
        </w:tc>
        <w:tc>
          <w:tcPr>
            <w:tcW w:w="0" w:type="auto"/>
            <w:gridSpan w:val="10"/>
            <w:tcBorders>
              <w:top w:val="single" w:sz="4" w:space="0" w:color="auto"/>
            </w:tcBorders>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Ani</w:t>
            </w:r>
          </w:p>
        </w:tc>
      </w:tr>
      <w:tr w:rsidR="003F23F1" w:rsidRPr="003F23F1" w:rsidTr="003F23F1">
        <w:tc>
          <w:tcPr>
            <w:tcW w:w="0" w:type="auto"/>
            <w:vMerge/>
            <w:hideMark/>
          </w:tcPr>
          <w:p w:rsidR="003F23F1" w:rsidRPr="003F23F1" w:rsidRDefault="003F23F1" w:rsidP="003F23F1">
            <w:pPr>
              <w:rPr>
                <w:rFonts w:ascii="Times New Roman" w:eastAsia="Times New Roman" w:hAnsi="Times New Roman" w:cs="Times New Roman"/>
                <w:b/>
                <w:bCs/>
                <w:sz w:val="20"/>
                <w:szCs w:val="20"/>
              </w:rPr>
            </w:pPr>
          </w:p>
        </w:tc>
        <w:tc>
          <w:tcPr>
            <w:tcW w:w="0" w:type="auto"/>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2012</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2013</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2014</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2015</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2016</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2017</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2018</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2019</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2020</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2021</w:t>
            </w:r>
          </w:p>
        </w:tc>
      </w:tr>
      <w:tr w:rsidR="003F23F1" w:rsidRPr="003F23F1" w:rsidTr="003F23F1">
        <w:trPr>
          <w:trHeight w:val="221"/>
        </w:trPr>
        <w:tc>
          <w:tcPr>
            <w:tcW w:w="0" w:type="auto"/>
            <w:vMerge/>
            <w:hideMark/>
          </w:tcPr>
          <w:p w:rsidR="003F23F1" w:rsidRPr="003F23F1" w:rsidRDefault="003F23F1" w:rsidP="003F23F1">
            <w:pPr>
              <w:rPr>
                <w:rFonts w:ascii="Times New Roman" w:eastAsia="Times New Roman" w:hAnsi="Times New Roman" w:cs="Times New Roman"/>
                <w:b/>
                <w:bCs/>
                <w:sz w:val="20"/>
                <w:szCs w:val="20"/>
              </w:rPr>
            </w:pPr>
          </w:p>
        </w:tc>
        <w:tc>
          <w:tcPr>
            <w:tcW w:w="0" w:type="auto"/>
            <w:gridSpan w:val="10"/>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Născuți vii </w:t>
            </w:r>
            <w:r w:rsidRPr="003F23F1">
              <w:rPr>
                <w:rFonts w:ascii="Times New Roman" w:eastAsia="Times New Roman" w:hAnsi="Times New Roman" w:cs="Times New Roman"/>
                <w:b/>
                <w:sz w:val="20"/>
                <w:szCs w:val="20"/>
              </w:rPr>
              <w:t>‰ locuitori</w:t>
            </w:r>
          </w:p>
        </w:tc>
      </w:tr>
      <w:tr w:rsidR="003F23F1" w:rsidRPr="003F23F1" w:rsidTr="003F23F1">
        <w:tc>
          <w:tcPr>
            <w:tcW w:w="0" w:type="auto"/>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Total </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9,6</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9,1</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9,3</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9,4</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9,7</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9,3</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9,2</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9,1</w:t>
            </w:r>
          </w:p>
        </w:tc>
        <w:tc>
          <w:tcPr>
            <w:tcW w:w="0" w:type="auto"/>
          </w:tcPr>
          <w:p w:rsidR="003F23F1" w:rsidRPr="003F23F1" w:rsidRDefault="003F23F1" w:rsidP="003F23F1">
            <w:pPr>
              <w:jc w:val="center"/>
              <w:rPr>
                <w:rFonts w:ascii="Times New Roman" w:eastAsia="Times New Roman" w:hAnsi="Times New Roman" w:cs="Times New Roman"/>
                <w:b/>
                <w:sz w:val="20"/>
                <w:szCs w:val="20"/>
              </w:rPr>
            </w:pPr>
            <w:r w:rsidRPr="003F23F1">
              <w:rPr>
                <w:rFonts w:ascii="Times New Roman" w:eastAsia="Times New Roman" w:hAnsi="Times New Roman" w:cs="Times New Roman"/>
                <w:b/>
                <w:sz w:val="20"/>
                <w:szCs w:val="20"/>
              </w:rPr>
              <w:t>8,2</w:t>
            </w:r>
          </w:p>
        </w:tc>
      </w:tr>
      <w:tr w:rsidR="003F23F1" w:rsidRPr="003F23F1" w:rsidTr="003F23F1">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urban</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8,6</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9,3</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8,8</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9,2</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9,5</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9,5</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8,9</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8,7</w:t>
            </w:r>
          </w:p>
        </w:tc>
        <w:tc>
          <w:tcPr>
            <w:tcW w:w="0" w:type="auto"/>
          </w:tcPr>
          <w:p w:rsidR="003F23F1" w:rsidRPr="003F23F1" w:rsidRDefault="003F23F1" w:rsidP="003F23F1">
            <w:pPr>
              <w:jc w:val="center"/>
              <w:rPr>
                <w:rFonts w:ascii="Times New Roman" w:eastAsia="Times New Roman" w:hAnsi="Times New Roman" w:cs="Times New Roman"/>
                <w:b/>
                <w:sz w:val="20"/>
                <w:szCs w:val="20"/>
                <w:u w:val="single"/>
              </w:rPr>
            </w:pPr>
            <w:r w:rsidRPr="003F23F1">
              <w:rPr>
                <w:rFonts w:ascii="Times New Roman" w:eastAsia="Times New Roman" w:hAnsi="Times New Roman" w:cs="Times New Roman"/>
                <w:b/>
                <w:sz w:val="20"/>
                <w:szCs w:val="20"/>
                <w:u w:val="single"/>
              </w:rPr>
              <w:t>7,6</w:t>
            </w:r>
          </w:p>
        </w:tc>
      </w:tr>
      <w:tr w:rsidR="003F23F1" w:rsidRPr="003F23F1" w:rsidTr="003F23F1">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rural</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9,5</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10</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9,5</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9,5</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9,7</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9,9</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9,9</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9,4</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9,6</w:t>
            </w:r>
          </w:p>
        </w:tc>
        <w:tc>
          <w:tcPr>
            <w:tcW w:w="0" w:type="auto"/>
          </w:tcPr>
          <w:p w:rsidR="003F23F1" w:rsidRPr="003F23F1" w:rsidRDefault="003F23F1" w:rsidP="003F23F1">
            <w:pPr>
              <w:jc w:val="center"/>
              <w:rPr>
                <w:rFonts w:ascii="Times New Roman" w:eastAsia="Times New Roman" w:hAnsi="Times New Roman" w:cs="Times New Roman"/>
                <w:b/>
                <w:sz w:val="20"/>
                <w:szCs w:val="20"/>
                <w:u w:val="single"/>
              </w:rPr>
            </w:pPr>
            <w:r w:rsidRPr="003F23F1">
              <w:rPr>
                <w:rFonts w:ascii="Times New Roman" w:eastAsia="Times New Roman" w:hAnsi="Times New Roman" w:cs="Times New Roman"/>
                <w:b/>
                <w:sz w:val="20"/>
                <w:szCs w:val="20"/>
                <w:u w:val="single"/>
              </w:rPr>
              <w:t>8,9</w:t>
            </w:r>
          </w:p>
        </w:tc>
      </w:tr>
    </w:tbl>
    <w:p w:rsidR="003F23F1" w:rsidRPr="003F23F1" w:rsidRDefault="003F23F1" w:rsidP="003F23F1">
      <w:pPr>
        <w:shd w:val="clear" w:color="auto" w:fill="FFFFFF"/>
        <w:spacing w:after="0"/>
        <w:jc w:val="both"/>
        <w:rPr>
          <w:rFonts w:ascii="Times New Roman" w:hAnsi="Times New Roman" w:cs="Times New Roman"/>
          <w:color w:val="0000FF"/>
          <w:sz w:val="20"/>
          <w:szCs w:val="20"/>
          <w:u w:val="single"/>
          <w:lang w:val="ro-RO"/>
        </w:rPr>
      </w:pPr>
      <w:r w:rsidRPr="003F23F1">
        <w:rPr>
          <w:rFonts w:ascii="Times New Roman" w:hAnsi="Times New Roman" w:cs="Times New Roman"/>
          <w:b/>
          <w:lang w:val="ro-RO"/>
        </w:rPr>
        <w:t>Sursa:</w:t>
      </w:r>
      <w:r w:rsidR="0099484D">
        <w:rPr>
          <w:rFonts w:ascii="Times New Roman" w:hAnsi="Times New Roman" w:cs="Times New Roman"/>
          <w:b/>
          <w:lang w:val="ro-RO"/>
        </w:rPr>
        <w:t xml:space="preserve"> </w:t>
      </w:r>
      <w:hyperlink r:id="rId24" w:anchor="/pages/tables/insse-table" w:history="1">
        <w:r w:rsidRPr="003F23F1">
          <w:rPr>
            <w:rFonts w:ascii="Times New Roman" w:hAnsi="Times New Roman" w:cs="Times New Roman"/>
            <w:color w:val="0000FF"/>
            <w:sz w:val="20"/>
            <w:szCs w:val="20"/>
            <w:u w:val="single"/>
            <w:lang w:val="ro-RO"/>
          </w:rPr>
          <w:t>http://statistici.insse.ro:8077/tempo-online/#/pages/tables/insse-table</w:t>
        </w:r>
      </w:hyperlink>
      <w:r w:rsidR="0099484D">
        <w:rPr>
          <w:rStyle w:val="FootnoteReference"/>
          <w:rFonts w:ascii="Times New Roman" w:hAnsi="Times New Roman" w:cs="Times New Roman"/>
          <w:color w:val="0000FF"/>
          <w:sz w:val="20"/>
          <w:szCs w:val="20"/>
          <w:u w:val="single"/>
          <w:lang w:val="ro-RO"/>
        </w:rPr>
        <w:footnoteReference w:id="17"/>
      </w:r>
    </w:p>
    <w:p w:rsidR="003F23F1" w:rsidRPr="003F23F1" w:rsidRDefault="003F23F1" w:rsidP="003F23F1">
      <w:pPr>
        <w:tabs>
          <w:tab w:val="left" w:pos="0"/>
        </w:tabs>
        <w:spacing w:after="0" w:line="271" w:lineRule="auto"/>
        <w:contextualSpacing/>
        <w:jc w:val="both"/>
        <w:rPr>
          <w:rFonts w:ascii="Times New Roman" w:eastAsia="Cambria" w:hAnsi="Times New Roman" w:cs="Times New Roman"/>
        </w:rPr>
      </w:pPr>
      <w:r w:rsidRPr="003F23F1">
        <w:rPr>
          <w:rFonts w:ascii="Times New Roman" w:eastAsia="Cambria" w:hAnsi="Times New Roman" w:cs="Times New Roman"/>
        </w:rPr>
        <w:t>În mediul urban a scăzut cu aprox. 12%, iar în mediul rural cu aprox. 7%.</w:t>
      </w:r>
    </w:p>
    <w:p w:rsidR="003F23F1" w:rsidRPr="003F23F1" w:rsidRDefault="003F23F1" w:rsidP="003F23F1">
      <w:pPr>
        <w:shd w:val="clear" w:color="auto" w:fill="FFFFFF"/>
        <w:spacing w:after="0"/>
        <w:jc w:val="both"/>
        <w:rPr>
          <w:rFonts w:ascii="Times New Roman" w:eastAsia="Cambria" w:hAnsi="Times New Roman" w:cs="Times New Roman"/>
          <w:b/>
        </w:rPr>
      </w:pPr>
      <w:r w:rsidRPr="003F23F1">
        <w:rPr>
          <w:rFonts w:ascii="Times New Roman" w:eastAsia="Cambria" w:hAnsi="Times New Roman" w:cs="Times New Roman"/>
          <w:b/>
        </w:rPr>
        <w:t xml:space="preserve">Figura </w:t>
      </w:r>
      <w:r w:rsidR="00FB0095">
        <w:rPr>
          <w:rFonts w:ascii="Times New Roman" w:eastAsia="Cambria" w:hAnsi="Times New Roman" w:cs="Times New Roman"/>
          <w:b/>
        </w:rPr>
        <w:t>9</w:t>
      </w:r>
      <w:r w:rsidRPr="003F23F1">
        <w:rPr>
          <w:rFonts w:ascii="Times New Roman" w:eastAsia="Cambria" w:hAnsi="Times New Roman" w:cs="Times New Roman"/>
          <w:b/>
        </w:rPr>
        <w:t>. Natalitatea pe județe, în 2021, ‰ locuitori</w:t>
      </w:r>
    </w:p>
    <w:p w:rsidR="003F23F1" w:rsidRDefault="003F23F1" w:rsidP="0093465E">
      <w:pPr>
        <w:spacing w:after="0"/>
        <w:rPr>
          <w:rFonts w:ascii="Times New Roman" w:hAnsi="Times New Roman" w:cs="Times New Roman"/>
          <w:sz w:val="28"/>
          <w:szCs w:val="28"/>
        </w:rPr>
      </w:pPr>
      <w:r w:rsidRPr="00A71A1C">
        <w:rPr>
          <w:rFonts w:ascii="Times New Roman" w:hAnsi="Times New Roman" w:cs="Times New Roman"/>
          <w:b/>
          <w:noProof/>
          <w:color w:val="FF0000"/>
          <w:u w:val="single"/>
        </w:rPr>
        <w:drawing>
          <wp:inline distT="0" distB="0" distL="0" distR="0" wp14:anchorId="600F571F" wp14:editId="478E3992">
            <wp:extent cx="6057900" cy="17716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23F1" w:rsidRPr="0099484D" w:rsidRDefault="003F23F1" w:rsidP="003F23F1">
      <w:pPr>
        <w:shd w:val="clear" w:color="auto" w:fill="FFFFFF"/>
        <w:spacing w:after="0"/>
        <w:jc w:val="both"/>
        <w:rPr>
          <w:rFonts w:ascii="Times New Roman" w:hAnsi="Times New Roman" w:cs="Times New Roman"/>
          <w:color w:val="0000FF"/>
          <w:sz w:val="20"/>
          <w:szCs w:val="20"/>
          <w:u w:val="single"/>
          <w:vertAlign w:val="superscript"/>
          <w:lang w:val="ro-RO"/>
        </w:rPr>
      </w:pPr>
      <w:r w:rsidRPr="003F23F1">
        <w:rPr>
          <w:rFonts w:ascii="Times New Roman" w:hAnsi="Times New Roman" w:cs="Times New Roman"/>
          <w:b/>
          <w:lang w:val="ro-RO"/>
        </w:rPr>
        <w:lastRenderedPageBreak/>
        <w:t>Sursa:</w:t>
      </w:r>
      <w:hyperlink r:id="rId26" w:anchor="/pages/tables/insse-table" w:history="1">
        <w:r w:rsidRPr="003F23F1">
          <w:rPr>
            <w:rFonts w:ascii="Times New Roman" w:hAnsi="Times New Roman" w:cs="Times New Roman"/>
            <w:color w:val="0000FF"/>
            <w:sz w:val="20"/>
            <w:szCs w:val="20"/>
            <w:u w:val="single"/>
            <w:lang w:val="ro-RO"/>
          </w:rPr>
          <w:t>http://statistici.insse.ro:8077/tempo-online/#/pages/tables/insse-table</w:t>
        </w:r>
      </w:hyperlink>
      <w:r w:rsidR="0099484D">
        <w:rPr>
          <w:rFonts w:ascii="Times New Roman" w:hAnsi="Times New Roman" w:cs="Times New Roman"/>
          <w:color w:val="0000FF"/>
          <w:sz w:val="20"/>
          <w:szCs w:val="20"/>
          <w:u w:val="single"/>
          <w:vertAlign w:val="superscript"/>
          <w:lang w:val="ro-RO"/>
        </w:rPr>
        <w:t>17</w:t>
      </w:r>
    </w:p>
    <w:p w:rsidR="003F23F1" w:rsidRPr="003F23F1" w:rsidRDefault="003F23F1" w:rsidP="003F23F1">
      <w:pPr>
        <w:shd w:val="clear" w:color="auto" w:fill="FFFFFF"/>
        <w:spacing w:after="0"/>
        <w:jc w:val="both"/>
        <w:rPr>
          <w:rFonts w:ascii="Times New Roman" w:hAnsi="Times New Roman" w:cs="Times New Roman"/>
          <w:color w:val="0000FF"/>
          <w:u w:val="single"/>
          <w:lang w:val="ro-RO"/>
        </w:rPr>
      </w:pPr>
      <w:r w:rsidRPr="003F23F1">
        <w:rPr>
          <w:rFonts w:ascii="Times New Roman" w:eastAsia="Cambria" w:hAnsi="Times New Roman" w:cs="Times New Roman"/>
        </w:rPr>
        <w:t>În 2021, cele mai mari valori ale natalității s-au înregistrat în județele: Suceava (10.6‰), Ilfov (10.3‰) și Sălaj (9.6‰)</w:t>
      </w:r>
      <w:r w:rsidR="002C5433">
        <w:rPr>
          <w:rFonts w:ascii="Times New Roman" w:eastAsia="Cambria" w:hAnsi="Times New Roman" w:cs="Times New Roman"/>
        </w:rPr>
        <w:t>, iar cele mai mici valori, în Caraș Severin (6,1</w:t>
      </w:r>
      <w:r w:rsidR="002C5433" w:rsidRPr="003F23F1">
        <w:rPr>
          <w:rFonts w:ascii="Times New Roman" w:eastAsia="Cambria" w:hAnsi="Times New Roman" w:cs="Times New Roman"/>
        </w:rPr>
        <w:t>‰</w:t>
      </w:r>
      <w:r w:rsidR="002C5433">
        <w:rPr>
          <w:rFonts w:ascii="Times New Roman" w:eastAsia="Cambria" w:hAnsi="Times New Roman" w:cs="Times New Roman"/>
        </w:rPr>
        <w:t>), Teleorman (6,2</w:t>
      </w:r>
      <w:r w:rsidR="002C5433" w:rsidRPr="003F23F1">
        <w:rPr>
          <w:rFonts w:ascii="Times New Roman" w:eastAsia="Cambria" w:hAnsi="Times New Roman" w:cs="Times New Roman"/>
        </w:rPr>
        <w:t>‰</w:t>
      </w:r>
      <w:r w:rsidR="002C5433">
        <w:rPr>
          <w:rFonts w:ascii="Times New Roman" w:eastAsia="Cambria" w:hAnsi="Times New Roman" w:cs="Times New Roman"/>
        </w:rPr>
        <w:t>)</w:t>
      </w:r>
      <w:r w:rsidRPr="003F23F1">
        <w:rPr>
          <w:rFonts w:ascii="Times New Roman" w:eastAsia="Cambria" w:hAnsi="Times New Roman" w:cs="Times New Roman"/>
        </w:rPr>
        <w:t>.</w:t>
      </w:r>
      <w:r w:rsidR="0099484D">
        <w:rPr>
          <w:rFonts w:ascii="Times New Roman" w:eastAsia="Cambria" w:hAnsi="Times New Roman" w:cs="Times New Roman"/>
          <w:vertAlign w:val="superscript"/>
        </w:rPr>
        <w:t>17</w:t>
      </w:r>
      <w:r w:rsidRPr="003F23F1">
        <w:t xml:space="preserve"> </w:t>
      </w:r>
    </w:p>
    <w:p w:rsidR="003F23F1" w:rsidRPr="003F23F1" w:rsidRDefault="003F23F1" w:rsidP="003F23F1">
      <w:pPr>
        <w:shd w:val="clear" w:color="auto" w:fill="FFFFFF"/>
        <w:spacing w:after="0"/>
        <w:jc w:val="both"/>
        <w:rPr>
          <w:rFonts w:ascii="Times New Roman" w:hAnsi="Times New Roman" w:cs="Times New Roman"/>
          <w:lang w:val="fr-FR"/>
        </w:rPr>
      </w:pPr>
      <w:r w:rsidRPr="003F23F1">
        <w:rPr>
          <w:rFonts w:ascii="Times New Roman" w:hAnsi="Times New Roman" w:cs="Times New Roman"/>
          <w:lang w:val="ro-RO"/>
        </w:rPr>
        <w:t>P</w:t>
      </w:r>
      <w:r>
        <w:rPr>
          <w:rFonts w:ascii="Times New Roman" w:hAnsi="Times New Roman" w:cs="Times New Roman"/>
          <w:lang w:val="ro-RO"/>
        </w:rPr>
        <w:t>onderea</w:t>
      </w:r>
      <w:r w:rsidRPr="003F23F1">
        <w:rPr>
          <w:rFonts w:ascii="Times New Roman" w:hAnsi="Times New Roman" w:cs="Times New Roman"/>
          <w:lang w:val="ro-RO"/>
        </w:rPr>
        <w:t xml:space="preserve"> </w:t>
      </w:r>
      <w:r w:rsidRPr="003F23F1">
        <w:rPr>
          <w:rFonts w:ascii="Times New Roman" w:hAnsi="Times New Roman" w:cs="Times New Roman"/>
          <w:b/>
          <w:lang w:val="ro-RO"/>
        </w:rPr>
        <w:t>născuți</w:t>
      </w:r>
      <w:r w:rsidR="001125B6">
        <w:rPr>
          <w:rFonts w:ascii="Times New Roman" w:hAnsi="Times New Roman" w:cs="Times New Roman"/>
          <w:b/>
          <w:lang w:val="ro-RO"/>
        </w:rPr>
        <w:t>lor</w:t>
      </w:r>
      <w:r w:rsidRPr="003F23F1">
        <w:rPr>
          <w:rFonts w:ascii="Times New Roman" w:hAnsi="Times New Roman" w:cs="Times New Roman"/>
          <w:b/>
          <w:lang w:val="ro-RO"/>
        </w:rPr>
        <w:t xml:space="preserve"> vii</w:t>
      </w:r>
      <w:r w:rsidRPr="003F23F1">
        <w:rPr>
          <w:rFonts w:ascii="Times New Roman" w:hAnsi="Times New Roman" w:cs="Times New Roman"/>
          <w:lang w:val="ro-RO"/>
        </w:rPr>
        <w:t xml:space="preserve"> </w:t>
      </w:r>
      <w:r w:rsidR="001125B6">
        <w:rPr>
          <w:rFonts w:ascii="Times New Roman" w:hAnsi="Times New Roman" w:cs="Times New Roman"/>
          <w:lang w:val="ro-RO"/>
        </w:rPr>
        <w:t>având</w:t>
      </w:r>
      <w:r w:rsidRPr="003F23F1">
        <w:rPr>
          <w:rFonts w:ascii="Times New Roman" w:hAnsi="Times New Roman" w:cs="Times New Roman"/>
          <w:lang w:val="ro-RO"/>
        </w:rPr>
        <w:t xml:space="preserve"> mame </w:t>
      </w:r>
      <w:r w:rsidR="001125B6">
        <w:rPr>
          <w:rFonts w:ascii="Times New Roman" w:hAnsi="Times New Roman" w:cs="Times New Roman"/>
          <w:lang w:val="ro-RO"/>
        </w:rPr>
        <w:t xml:space="preserve">cu vârste mai mici de </w:t>
      </w:r>
      <w:r w:rsidRPr="003F23F1">
        <w:rPr>
          <w:rFonts w:ascii="Times New Roman" w:hAnsi="Times New Roman" w:cs="Times New Roman"/>
          <w:lang w:val="ro-RO"/>
        </w:rPr>
        <w:t xml:space="preserve">15 ani a înregistrat </w:t>
      </w:r>
      <w:r w:rsidR="001125B6">
        <w:rPr>
          <w:rFonts w:ascii="Times New Roman" w:hAnsi="Times New Roman" w:cs="Times New Roman"/>
          <w:lang w:val="ro-RO"/>
        </w:rPr>
        <w:t>valori în scădere cu 2,56% în perioada 2012-20121, și cu 11% în cazul mamelor având vârste cuprinse între15-19 ani.</w:t>
      </w:r>
      <w:r w:rsidRPr="003F23F1">
        <w:rPr>
          <w:rFonts w:ascii="Times New Roman" w:hAnsi="Times New Roman" w:cs="Times New Roman"/>
          <w:lang w:val="ro-RO"/>
        </w:rPr>
        <w:t>.</w:t>
      </w:r>
    </w:p>
    <w:p w:rsidR="003F23F1" w:rsidRPr="003F23F1" w:rsidRDefault="003F23F1" w:rsidP="003F23F1">
      <w:pPr>
        <w:shd w:val="clear" w:color="auto" w:fill="FFFFFF"/>
        <w:spacing w:after="0"/>
        <w:jc w:val="both"/>
        <w:rPr>
          <w:rFonts w:ascii="Times New Roman" w:hAnsi="Times New Roman" w:cs="Times New Roman"/>
          <w:b/>
          <w:lang w:val="fr-FR"/>
        </w:rPr>
      </w:pPr>
      <w:r w:rsidRPr="003F23F1">
        <w:rPr>
          <w:rFonts w:ascii="Times New Roman" w:hAnsi="Times New Roman" w:cs="Times New Roman"/>
          <w:b/>
          <w:lang w:val="fr-FR"/>
        </w:rPr>
        <w:t xml:space="preserve">Tabel </w:t>
      </w:r>
      <w:r w:rsidR="00FB0095">
        <w:rPr>
          <w:rFonts w:ascii="Times New Roman" w:hAnsi="Times New Roman" w:cs="Times New Roman"/>
          <w:b/>
          <w:lang w:val="fr-FR"/>
        </w:rPr>
        <w:t>5</w:t>
      </w:r>
      <w:r w:rsidRPr="003F23F1">
        <w:rPr>
          <w:rFonts w:ascii="Times New Roman" w:hAnsi="Times New Roman" w:cs="Times New Roman"/>
          <w:b/>
          <w:lang w:val="fr-FR"/>
        </w:rPr>
        <w:t>. P</w:t>
      </w:r>
      <w:r>
        <w:rPr>
          <w:rFonts w:ascii="Times New Roman" w:hAnsi="Times New Roman" w:cs="Times New Roman"/>
          <w:b/>
          <w:lang w:val="fr-FR"/>
        </w:rPr>
        <w:t>onderea</w:t>
      </w:r>
      <w:r w:rsidRPr="003F23F1">
        <w:rPr>
          <w:rFonts w:ascii="Times New Roman" w:hAnsi="Times New Roman" w:cs="Times New Roman"/>
          <w:b/>
          <w:lang w:val="fr-FR"/>
        </w:rPr>
        <w:t xml:space="preserve"> născuți</w:t>
      </w:r>
      <w:r>
        <w:rPr>
          <w:rFonts w:ascii="Times New Roman" w:hAnsi="Times New Roman" w:cs="Times New Roman"/>
          <w:b/>
          <w:lang w:val="fr-FR"/>
        </w:rPr>
        <w:t>lor</w:t>
      </w:r>
      <w:r w:rsidRPr="003F23F1">
        <w:rPr>
          <w:rFonts w:ascii="Times New Roman" w:hAnsi="Times New Roman" w:cs="Times New Roman"/>
          <w:b/>
          <w:lang w:val="fr-FR"/>
        </w:rPr>
        <w:t xml:space="preserve"> vii din total nou-născuți, pe grupe de vârstă ale mamei</w:t>
      </w:r>
      <w:r>
        <w:rPr>
          <w:rFonts w:ascii="Times New Roman" w:hAnsi="Times New Roman" w:cs="Times New Roman"/>
          <w:b/>
          <w:lang w:val="fr-FR"/>
        </w:rPr>
        <w:t xml:space="preserve"> (sub 15 si 15-19 ani)</w:t>
      </w:r>
      <w:r w:rsidR="00754825">
        <w:rPr>
          <w:rFonts w:ascii="Times New Roman" w:hAnsi="Times New Roman" w:cs="Times New Roman"/>
          <w:b/>
          <w:lang w:val="fr-FR"/>
        </w:rPr>
        <w:t xml:space="preserve">, </w:t>
      </w:r>
      <w:r w:rsidR="00754825" w:rsidRPr="003F23F1">
        <w:rPr>
          <w:rFonts w:ascii="Times New Roman" w:hAnsi="Times New Roman" w:cs="Times New Roman"/>
          <w:b/>
          <w:lang w:val="fr-FR"/>
        </w:rPr>
        <w:t>România</w:t>
      </w:r>
      <w:r w:rsidR="00754825">
        <w:rPr>
          <w:rFonts w:ascii="Times New Roman" w:hAnsi="Times New Roman" w:cs="Times New Roman"/>
          <w:b/>
          <w:lang w:val="fr-FR"/>
        </w:rPr>
        <w:t>,</w:t>
      </w:r>
      <w:r w:rsidR="005E082F">
        <w:rPr>
          <w:rFonts w:ascii="Times New Roman" w:hAnsi="Times New Roman" w:cs="Times New Roman"/>
          <w:b/>
          <w:lang w:val="fr-FR"/>
        </w:rPr>
        <w:t xml:space="preserve"> 2012-2021, nr.și %</w:t>
      </w:r>
    </w:p>
    <w:tbl>
      <w:tblPr>
        <w:tblStyle w:val="TableGrid3"/>
        <w:tblW w:w="5780" w:type="pct"/>
        <w:tblInd w:w="-702" w:type="dxa"/>
        <w:tblLayout w:type="fixed"/>
        <w:tblLook w:val="04A0" w:firstRow="1" w:lastRow="0" w:firstColumn="1" w:lastColumn="0" w:noHBand="0" w:noVBand="1"/>
      </w:tblPr>
      <w:tblGrid>
        <w:gridCol w:w="1098"/>
        <w:gridCol w:w="987"/>
        <w:gridCol w:w="903"/>
        <w:gridCol w:w="901"/>
        <w:gridCol w:w="899"/>
        <w:gridCol w:w="901"/>
        <w:gridCol w:w="808"/>
        <w:gridCol w:w="89"/>
        <w:gridCol w:w="901"/>
        <w:gridCol w:w="886"/>
        <w:gridCol w:w="897"/>
        <w:gridCol w:w="901"/>
        <w:gridCol w:w="899"/>
      </w:tblGrid>
      <w:tr w:rsidR="003F23F1" w:rsidRPr="003F23F1" w:rsidTr="003F23F1">
        <w:trPr>
          <w:trHeight w:val="284"/>
        </w:trPr>
        <w:tc>
          <w:tcPr>
            <w:tcW w:w="496" w:type="pct"/>
            <w:vMerge w:val="restart"/>
            <w:tcBorders>
              <w:top w:val="single" w:sz="4" w:space="0" w:color="auto"/>
            </w:tcBorders>
          </w:tcPr>
          <w:p w:rsidR="003F23F1" w:rsidRPr="003F23F1" w:rsidRDefault="003F23F1" w:rsidP="00477424">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Grupe de vârstă a mamei</w:t>
            </w:r>
          </w:p>
        </w:tc>
        <w:tc>
          <w:tcPr>
            <w:tcW w:w="446" w:type="pct"/>
            <w:vMerge w:val="restart"/>
            <w:tcBorders>
              <w:top w:val="single" w:sz="4" w:space="0" w:color="auto"/>
            </w:tcBorders>
            <w:hideMark/>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058" w:type="pct"/>
            <w:gridSpan w:val="11"/>
            <w:tcBorders>
              <w:top w:val="single" w:sz="4" w:space="0" w:color="auto"/>
            </w:tcBorders>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Ani</w:t>
            </w:r>
          </w:p>
        </w:tc>
      </w:tr>
      <w:tr w:rsidR="003F23F1" w:rsidRPr="003F23F1" w:rsidTr="003F23F1">
        <w:trPr>
          <w:trHeight w:val="150"/>
        </w:trPr>
        <w:tc>
          <w:tcPr>
            <w:tcW w:w="496" w:type="pct"/>
            <w:vMerge/>
          </w:tcPr>
          <w:p w:rsidR="003F23F1" w:rsidRPr="003F23F1" w:rsidRDefault="003F23F1" w:rsidP="003F23F1">
            <w:pPr>
              <w:rPr>
                <w:rFonts w:ascii="Times New Roman" w:eastAsia="Times New Roman" w:hAnsi="Times New Roman" w:cs="Times New Roman"/>
                <w:b/>
                <w:bCs/>
                <w:sz w:val="20"/>
                <w:szCs w:val="20"/>
              </w:rPr>
            </w:pPr>
          </w:p>
        </w:tc>
        <w:tc>
          <w:tcPr>
            <w:tcW w:w="446" w:type="pct"/>
            <w:vMerge/>
            <w:hideMark/>
          </w:tcPr>
          <w:p w:rsidR="003F23F1" w:rsidRPr="003F23F1" w:rsidRDefault="003F23F1" w:rsidP="003F23F1">
            <w:pPr>
              <w:rPr>
                <w:rFonts w:ascii="Times New Roman" w:eastAsia="Times New Roman" w:hAnsi="Times New Roman" w:cs="Times New Roman"/>
                <w:b/>
                <w:bCs/>
                <w:sz w:val="20"/>
                <w:szCs w:val="20"/>
              </w:rPr>
            </w:pPr>
          </w:p>
        </w:tc>
        <w:tc>
          <w:tcPr>
            <w:tcW w:w="408" w:type="pct"/>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2012</w:t>
            </w:r>
          </w:p>
        </w:tc>
        <w:tc>
          <w:tcPr>
            <w:tcW w:w="407"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2013</w:t>
            </w:r>
          </w:p>
        </w:tc>
        <w:tc>
          <w:tcPr>
            <w:tcW w:w="406"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2014</w:t>
            </w:r>
          </w:p>
        </w:tc>
        <w:tc>
          <w:tcPr>
            <w:tcW w:w="407"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2015</w:t>
            </w:r>
          </w:p>
        </w:tc>
        <w:tc>
          <w:tcPr>
            <w:tcW w:w="365"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2016</w:t>
            </w:r>
          </w:p>
        </w:tc>
        <w:tc>
          <w:tcPr>
            <w:tcW w:w="447" w:type="pct"/>
            <w:gridSpan w:val="2"/>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2017</w:t>
            </w:r>
          </w:p>
        </w:tc>
        <w:tc>
          <w:tcPr>
            <w:tcW w:w="400"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2018</w:t>
            </w:r>
          </w:p>
        </w:tc>
        <w:tc>
          <w:tcPr>
            <w:tcW w:w="405"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2019</w:t>
            </w:r>
          </w:p>
        </w:tc>
        <w:tc>
          <w:tcPr>
            <w:tcW w:w="407"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2020</w:t>
            </w:r>
          </w:p>
        </w:tc>
        <w:tc>
          <w:tcPr>
            <w:tcW w:w="406"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2021</w:t>
            </w:r>
          </w:p>
        </w:tc>
      </w:tr>
      <w:tr w:rsidR="003F23F1" w:rsidRPr="003F23F1" w:rsidTr="003F23F1">
        <w:trPr>
          <w:trHeight w:val="284"/>
        </w:trPr>
        <w:tc>
          <w:tcPr>
            <w:tcW w:w="496" w:type="pct"/>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46" w:type="pct"/>
            <w:hideMark/>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08"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201104</w:t>
            </w:r>
          </w:p>
        </w:tc>
        <w:tc>
          <w:tcPr>
            <w:tcW w:w="407"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214932</w:t>
            </w:r>
          </w:p>
        </w:tc>
        <w:tc>
          <w:tcPr>
            <w:tcW w:w="406"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202501</w:t>
            </w:r>
          </w:p>
        </w:tc>
        <w:tc>
          <w:tcPr>
            <w:tcW w:w="407"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206190</w:t>
            </w:r>
          </w:p>
        </w:tc>
        <w:tc>
          <w:tcPr>
            <w:tcW w:w="405" w:type="pct"/>
            <w:gridSpan w:val="2"/>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209641</w:t>
            </w:r>
          </w:p>
        </w:tc>
        <w:tc>
          <w:tcPr>
            <w:tcW w:w="407"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214928</w:t>
            </w:r>
          </w:p>
        </w:tc>
        <w:tc>
          <w:tcPr>
            <w:tcW w:w="400"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214614</w:t>
            </w:r>
          </w:p>
        </w:tc>
        <w:tc>
          <w:tcPr>
            <w:tcW w:w="405"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203109</w:t>
            </w:r>
          </w:p>
        </w:tc>
        <w:tc>
          <w:tcPr>
            <w:tcW w:w="407"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201849</w:t>
            </w:r>
          </w:p>
        </w:tc>
        <w:tc>
          <w:tcPr>
            <w:tcW w:w="406" w:type="pct"/>
          </w:tcPr>
          <w:p w:rsidR="003F23F1" w:rsidRPr="003F23F1" w:rsidRDefault="003F23F1" w:rsidP="003F23F1">
            <w:pPr>
              <w:rPr>
                <w:rFonts w:ascii="Times New Roman" w:eastAsia="Times New Roman" w:hAnsi="Times New Roman" w:cs="Times New Roman"/>
                <w:b/>
                <w:sz w:val="20"/>
                <w:szCs w:val="20"/>
                <w:u w:val="single"/>
              </w:rPr>
            </w:pPr>
            <w:r w:rsidRPr="003F23F1">
              <w:rPr>
                <w:rFonts w:ascii="Times New Roman" w:eastAsia="Times New Roman" w:hAnsi="Times New Roman" w:cs="Times New Roman"/>
                <w:b/>
                <w:sz w:val="20"/>
                <w:szCs w:val="20"/>
                <w:u w:val="single"/>
              </w:rPr>
              <w:t>180735</w:t>
            </w:r>
          </w:p>
        </w:tc>
      </w:tr>
      <w:tr w:rsidR="003F23F1" w:rsidRPr="003F23F1" w:rsidTr="003F23F1">
        <w:trPr>
          <w:trHeight w:val="125"/>
        </w:trPr>
        <w:tc>
          <w:tcPr>
            <w:tcW w:w="496" w:type="pct"/>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sub 15 ani</w:t>
            </w:r>
            <w:r w:rsidR="00F35E40">
              <w:rPr>
                <w:rFonts w:ascii="Times New Roman" w:eastAsia="Times New Roman" w:hAnsi="Times New Roman" w:cs="Times New Roman"/>
                <w:b/>
                <w:bCs/>
                <w:sz w:val="20"/>
                <w:szCs w:val="20"/>
              </w:rPr>
              <w:t xml:space="preserve"> </w:t>
            </w:r>
          </w:p>
        </w:tc>
        <w:tc>
          <w:tcPr>
            <w:tcW w:w="446" w:type="pct"/>
            <w:hideMark/>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08" w:type="pct"/>
          </w:tcPr>
          <w:p w:rsidR="003F23F1" w:rsidRPr="00BF3EBF" w:rsidRDefault="009B6872" w:rsidP="00BF3EBF">
            <w:pPr>
              <w:jc w:val="center"/>
              <w:rPr>
                <w:rFonts w:ascii="Times New Roman" w:eastAsia="Times New Roman" w:hAnsi="Times New Roman" w:cs="Times New Roman"/>
                <w:sz w:val="20"/>
                <w:szCs w:val="20"/>
              </w:rPr>
            </w:pPr>
            <w:r w:rsidRPr="00B66E1A">
              <w:rPr>
                <w:rFonts w:ascii="Times New Roman" w:eastAsia="Times New Roman" w:hAnsi="Times New Roman" w:cs="Times New Roman"/>
                <w:b/>
                <w:color w:val="FF0000"/>
                <w:sz w:val="20"/>
                <w:szCs w:val="20"/>
              </w:rPr>
              <w:t>785</w:t>
            </w:r>
            <w:r w:rsidRPr="00BF3EBF">
              <w:rPr>
                <w:rFonts w:ascii="Times New Roman" w:eastAsia="Times New Roman" w:hAnsi="Times New Roman" w:cs="Times New Roman"/>
                <w:color w:val="FF0000"/>
                <w:sz w:val="20"/>
                <w:szCs w:val="20"/>
              </w:rPr>
              <w:t xml:space="preserve"> </w:t>
            </w:r>
            <w:r w:rsidR="003F23F1" w:rsidRPr="0007473A">
              <w:rPr>
                <w:rFonts w:ascii="Times New Roman" w:eastAsia="Times New Roman" w:hAnsi="Times New Roman" w:cs="Times New Roman"/>
                <w:b/>
                <w:sz w:val="20"/>
                <w:szCs w:val="20"/>
              </w:rPr>
              <w:t>0.39</w:t>
            </w:r>
            <w:r w:rsidR="00B66E1A" w:rsidRPr="0007473A">
              <w:rPr>
                <w:rFonts w:ascii="Times New Roman" w:eastAsia="Times New Roman" w:hAnsi="Times New Roman" w:cs="Times New Roman"/>
                <w:b/>
                <w:sz w:val="20"/>
                <w:szCs w:val="20"/>
              </w:rPr>
              <w:t>%</w:t>
            </w:r>
          </w:p>
        </w:tc>
        <w:tc>
          <w:tcPr>
            <w:tcW w:w="407"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816</w:t>
            </w:r>
          </w:p>
          <w:p w:rsidR="003F23F1" w:rsidRPr="00BF3EBF" w:rsidRDefault="003F23F1"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0.38%</w:t>
            </w:r>
          </w:p>
        </w:tc>
        <w:tc>
          <w:tcPr>
            <w:tcW w:w="406"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728</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0.36</w:t>
            </w:r>
            <w:r w:rsidR="00B66E1A" w:rsidRPr="00BF3EBF">
              <w:rPr>
                <w:rFonts w:ascii="Times New Roman" w:eastAsia="Times New Roman" w:hAnsi="Times New Roman" w:cs="Times New Roman"/>
                <w:sz w:val="20"/>
                <w:szCs w:val="20"/>
              </w:rPr>
              <w:t>%</w:t>
            </w:r>
          </w:p>
        </w:tc>
        <w:tc>
          <w:tcPr>
            <w:tcW w:w="407"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698</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0.34</w:t>
            </w:r>
            <w:r w:rsidR="00B66E1A" w:rsidRPr="00BF3EBF">
              <w:rPr>
                <w:rFonts w:ascii="Times New Roman" w:eastAsia="Times New Roman" w:hAnsi="Times New Roman" w:cs="Times New Roman"/>
                <w:sz w:val="20"/>
                <w:szCs w:val="20"/>
              </w:rPr>
              <w:t>%</w:t>
            </w:r>
          </w:p>
        </w:tc>
        <w:tc>
          <w:tcPr>
            <w:tcW w:w="405" w:type="pct"/>
            <w:gridSpan w:val="2"/>
          </w:tcPr>
          <w:p w:rsidR="009B6872" w:rsidRPr="00BF3EBF" w:rsidRDefault="00AE1047" w:rsidP="00AE1047">
            <w:pP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732</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0.35</w:t>
            </w:r>
            <w:r w:rsidR="00B66E1A" w:rsidRPr="00BF3EBF">
              <w:rPr>
                <w:rFonts w:ascii="Times New Roman" w:eastAsia="Times New Roman" w:hAnsi="Times New Roman" w:cs="Times New Roman"/>
                <w:sz w:val="20"/>
                <w:szCs w:val="20"/>
              </w:rPr>
              <w:t>%</w:t>
            </w:r>
          </w:p>
        </w:tc>
        <w:tc>
          <w:tcPr>
            <w:tcW w:w="407" w:type="pct"/>
          </w:tcPr>
          <w:p w:rsidR="00AE1047" w:rsidRPr="00BF3EBF" w:rsidRDefault="00AE1047"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763</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0.36</w:t>
            </w:r>
            <w:r w:rsidR="00B66E1A" w:rsidRPr="00BF3EBF">
              <w:rPr>
                <w:rFonts w:ascii="Times New Roman" w:eastAsia="Times New Roman" w:hAnsi="Times New Roman" w:cs="Times New Roman"/>
                <w:sz w:val="20"/>
                <w:szCs w:val="20"/>
              </w:rPr>
              <w:t>%</w:t>
            </w:r>
          </w:p>
        </w:tc>
        <w:tc>
          <w:tcPr>
            <w:tcW w:w="400" w:type="pct"/>
          </w:tcPr>
          <w:p w:rsidR="00AE1047" w:rsidRPr="00BF3EBF" w:rsidRDefault="00AE1047"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746</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0.35</w:t>
            </w:r>
            <w:r w:rsidR="00B66E1A" w:rsidRPr="00BF3EBF">
              <w:rPr>
                <w:rFonts w:ascii="Times New Roman" w:eastAsia="Times New Roman" w:hAnsi="Times New Roman" w:cs="Times New Roman"/>
                <w:sz w:val="20"/>
                <w:szCs w:val="20"/>
              </w:rPr>
              <w:t>%</w:t>
            </w:r>
          </w:p>
        </w:tc>
        <w:tc>
          <w:tcPr>
            <w:tcW w:w="405" w:type="pct"/>
          </w:tcPr>
          <w:p w:rsidR="00AE1047" w:rsidRPr="00B66E1A" w:rsidRDefault="00AE1047" w:rsidP="00AE1047">
            <w:pPr>
              <w:jc w:val="center"/>
              <w:rPr>
                <w:rFonts w:ascii="Times New Roman" w:eastAsia="Times New Roman" w:hAnsi="Times New Roman" w:cs="Times New Roman"/>
                <w:b/>
                <w:color w:val="FF0000"/>
                <w:sz w:val="20"/>
                <w:szCs w:val="20"/>
              </w:rPr>
            </w:pPr>
            <w:r w:rsidRPr="00B66E1A">
              <w:rPr>
                <w:rFonts w:ascii="Times New Roman" w:eastAsia="Times New Roman" w:hAnsi="Times New Roman" w:cs="Times New Roman"/>
                <w:b/>
                <w:color w:val="FF0000"/>
                <w:sz w:val="20"/>
                <w:szCs w:val="20"/>
              </w:rPr>
              <w:t>779</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0.36</w:t>
            </w:r>
            <w:r w:rsidR="00B66E1A" w:rsidRPr="00BF3EBF">
              <w:rPr>
                <w:rFonts w:ascii="Times New Roman" w:eastAsia="Times New Roman" w:hAnsi="Times New Roman" w:cs="Times New Roman"/>
                <w:sz w:val="20"/>
                <w:szCs w:val="20"/>
              </w:rPr>
              <w:t>%</w:t>
            </w:r>
          </w:p>
        </w:tc>
        <w:tc>
          <w:tcPr>
            <w:tcW w:w="407" w:type="pct"/>
          </w:tcPr>
          <w:p w:rsidR="00AE1047" w:rsidRPr="00B66E1A" w:rsidRDefault="00AE1047" w:rsidP="00AE1047">
            <w:pPr>
              <w:jc w:val="center"/>
              <w:rPr>
                <w:rFonts w:ascii="Times New Roman" w:eastAsia="Times New Roman" w:hAnsi="Times New Roman" w:cs="Times New Roman"/>
                <w:b/>
                <w:color w:val="FF0000"/>
                <w:sz w:val="20"/>
                <w:szCs w:val="20"/>
              </w:rPr>
            </w:pPr>
            <w:r w:rsidRPr="00B66E1A">
              <w:rPr>
                <w:rFonts w:ascii="Times New Roman" w:eastAsia="Times New Roman" w:hAnsi="Times New Roman" w:cs="Times New Roman"/>
                <w:b/>
                <w:color w:val="FF0000"/>
                <w:sz w:val="20"/>
                <w:szCs w:val="20"/>
              </w:rPr>
              <w:t>732</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0.36</w:t>
            </w:r>
            <w:r w:rsidR="00B66E1A" w:rsidRPr="00BF3EBF">
              <w:rPr>
                <w:rFonts w:ascii="Times New Roman" w:eastAsia="Times New Roman" w:hAnsi="Times New Roman" w:cs="Times New Roman"/>
                <w:sz w:val="20"/>
                <w:szCs w:val="20"/>
              </w:rPr>
              <w:t>%</w:t>
            </w:r>
          </w:p>
        </w:tc>
        <w:tc>
          <w:tcPr>
            <w:tcW w:w="406" w:type="pct"/>
          </w:tcPr>
          <w:p w:rsidR="00AE1047" w:rsidRPr="00BF3EBF" w:rsidRDefault="00AE1047" w:rsidP="003F23F1">
            <w:pPr>
              <w:jc w:val="center"/>
              <w:rPr>
                <w:rFonts w:ascii="Times New Roman" w:eastAsia="Times New Roman" w:hAnsi="Times New Roman" w:cs="Times New Roman"/>
                <w:b/>
                <w:sz w:val="20"/>
                <w:szCs w:val="20"/>
                <w:u w:val="single"/>
              </w:rPr>
            </w:pPr>
            <w:r w:rsidRPr="00BF3EBF">
              <w:rPr>
                <w:rFonts w:ascii="Times New Roman" w:eastAsia="Times New Roman" w:hAnsi="Times New Roman" w:cs="Times New Roman"/>
                <w:b/>
                <w:bCs/>
                <w:color w:val="FF0000"/>
                <w:sz w:val="20"/>
                <w:szCs w:val="20"/>
                <w:u w:val="single"/>
              </w:rPr>
              <w:t>687</w:t>
            </w:r>
          </w:p>
          <w:p w:rsidR="003F23F1" w:rsidRPr="00BF3EBF" w:rsidRDefault="003F23F1" w:rsidP="003F23F1">
            <w:pPr>
              <w:jc w:val="center"/>
              <w:rPr>
                <w:rFonts w:ascii="Times New Roman" w:eastAsia="Times New Roman" w:hAnsi="Times New Roman" w:cs="Times New Roman"/>
                <w:b/>
                <w:sz w:val="20"/>
                <w:szCs w:val="20"/>
                <w:u w:val="single"/>
              </w:rPr>
            </w:pPr>
            <w:r w:rsidRPr="00BF3EBF">
              <w:rPr>
                <w:rFonts w:ascii="Times New Roman" w:eastAsia="Times New Roman" w:hAnsi="Times New Roman" w:cs="Times New Roman"/>
                <w:b/>
                <w:sz w:val="20"/>
                <w:szCs w:val="20"/>
                <w:u w:val="single"/>
              </w:rPr>
              <w:t>0.38%</w:t>
            </w:r>
          </w:p>
        </w:tc>
      </w:tr>
      <w:tr w:rsidR="003F23F1" w:rsidRPr="003F23F1" w:rsidTr="003F23F1">
        <w:trPr>
          <w:trHeight w:val="197"/>
        </w:trPr>
        <w:tc>
          <w:tcPr>
            <w:tcW w:w="496" w:type="pct"/>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15-19 ani</w:t>
            </w:r>
          </w:p>
        </w:tc>
        <w:tc>
          <w:tcPr>
            <w:tcW w:w="446" w:type="pct"/>
            <w:hideMark/>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08" w:type="pct"/>
          </w:tcPr>
          <w:p w:rsidR="009B6872" w:rsidRPr="00BF3EBF" w:rsidRDefault="009B6872" w:rsidP="009B6872">
            <w:pPr>
              <w:jc w:val="center"/>
              <w:rPr>
                <w:rFonts w:ascii="Times New Roman" w:eastAsia="Times New Roman" w:hAnsi="Times New Roman" w:cs="Times New Roman"/>
                <w:b/>
                <w:color w:val="FF0000"/>
                <w:sz w:val="20"/>
                <w:szCs w:val="20"/>
              </w:rPr>
            </w:pPr>
            <w:r w:rsidRPr="00BF3EBF">
              <w:rPr>
                <w:rFonts w:ascii="Times New Roman" w:eastAsia="Times New Roman" w:hAnsi="Times New Roman" w:cs="Times New Roman"/>
                <w:b/>
                <w:color w:val="FF0000"/>
                <w:sz w:val="20"/>
                <w:szCs w:val="20"/>
              </w:rPr>
              <w:t>19822</w:t>
            </w:r>
          </w:p>
          <w:p w:rsidR="003F23F1" w:rsidRPr="0007473A" w:rsidRDefault="003F23F1" w:rsidP="009B6872">
            <w:pPr>
              <w:jc w:val="center"/>
              <w:rPr>
                <w:rFonts w:ascii="Times New Roman" w:eastAsia="Times New Roman" w:hAnsi="Times New Roman" w:cs="Times New Roman"/>
                <w:b/>
                <w:sz w:val="20"/>
                <w:szCs w:val="20"/>
              </w:rPr>
            </w:pPr>
            <w:r w:rsidRPr="0007473A">
              <w:rPr>
                <w:rFonts w:ascii="Times New Roman" w:eastAsia="Times New Roman" w:hAnsi="Times New Roman" w:cs="Times New Roman"/>
                <w:b/>
                <w:sz w:val="20"/>
                <w:szCs w:val="20"/>
              </w:rPr>
              <w:t>9.86</w:t>
            </w:r>
            <w:r w:rsidR="00B66E1A" w:rsidRPr="0007473A">
              <w:rPr>
                <w:rFonts w:ascii="Times New Roman" w:eastAsia="Times New Roman" w:hAnsi="Times New Roman" w:cs="Times New Roman"/>
                <w:b/>
                <w:sz w:val="20"/>
                <w:szCs w:val="20"/>
              </w:rPr>
              <w:t>%</w:t>
            </w:r>
          </w:p>
        </w:tc>
        <w:tc>
          <w:tcPr>
            <w:tcW w:w="407"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20642</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9.60</w:t>
            </w:r>
            <w:r w:rsidR="00B66E1A" w:rsidRPr="00BF3EBF">
              <w:rPr>
                <w:rFonts w:ascii="Times New Roman" w:eastAsia="Times New Roman" w:hAnsi="Times New Roman" w:cs="Times New Roman"/>
                <w:sz w:val="20"/>
                <w:szCs w:val="20"/>
              </w:rPr>
              <w:t>%</w:t>
            </w:r>
          </w:p>
        </w:tc>
        <w:tc>
          <w:tcPr>
            <w:tcW w:w="406"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19375</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9.57</w:t>
            </w:r>
            <w:r w:rsidR="00B66E1A" w:rsidRPr="00BF3EBF">
              <w:rPr>
                <w:rFonts w:ascii="Times New Roman" w:eastAsia="Times New Roman" w:hAnsi="Times New Roman" w:cs="Times New Roman"/>
                <w:sz w:val="20"/>
                <w:szCs w:val="20"/>
              </w:rPr>
              <w:t>%</w:t>
            </w:r>
          </w:p>
        </w:tc>
        <w:tc>
          <w:tcPr>
            <w:tcW w:w="407" w:type="pct"/>
          </w:tcPr>
          <w:p w:rsidR="009B6872" w:rsidRPr="00BF3EBF" w:rsidRDefault="009B6872"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19426</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9.42</w:t>
            </w:r>
            <w:r w:rsidR="00B66E1A" w:rsidRPr="00BF3EBF">
              <w:rPr>
                <w:rFonts w:ascii="Times New Roman" w:eastAsia="Times New Roman" w:hAnsi="Times New Roman" w:cs="Times New Roman"/>
                <w:sz w:val="20"/>
                <w:szCs w:val="20"/>
              </w:rPr>
              <w:t>%</w:t>
            </w:r>
          </w:p>
        </w:tc>
        <w:tc>
          <w:tcPr>
            <w:tcW w:w="405" w:type="pct"/>
            <w:gridSpan w:val="2"/>
          </w:tcPr>
          <w:p w:rsidR="009B6872" w:rsidRPr="00BF3EBF" w:rsidRDefault="00AE1047"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20066</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9.57</w:t>
            </w:r>
            <w:r w:rsidR="00B66E1A" w:rsidRPr="00BF3EBF">
              <w:rPr>
                <w:rFonts w:ascii="Times New Roman" w:eastAsia="Times New Roman" w:hAnsi="Times New Roman" w:cs="Times New Roman"/>
                <w:sz w:val="20"/>
                <w:szCs w:val="20"/>
              </w:rPr>
              <w:t>%</w:t>
            </w:r>
          </w:p>
        </w:tc>
        <w:tc>
          <w:tcPr>
            <w:tcW w:w="407" w:type="pct"/>
          </w:tcPr>
          <w:p w:rsidR="00AE1047" w:rsidRPr="00BF3EBF" w:rsidRDefault="00AE1047"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19908</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9.26</w:t>
            </w:r>
            <w:r w:rsidR="00B66E1A" w:rsidRPr="00BF3EBF">
              <w:rPr>
                <w:rFonts w:ascii="Times New Roman" w:eastAsia="Times New Roman" w:hAnsi="Times New Roman" w:cs="Times New Roman"/>
                <w:sz w:val="20"/>
                <w:szCs w:val="20"/>
              </w:rPr>
              <w:t>%</w:t>
            </w:r>
          </w:p>
        </w:tc>
        <w:tc>
          <w:tcPr>
            <w:tcW w:w="400" w:type="pct"/>
          </w:tcPr>
          <w:p w:rsidR="00AE1047" w:rsidRPr="00BF3EBF" w:rsidRDefault="00AE1047" w:rsidP="00AE1047">
            <w:pPr>
              <w:jc w:val="center"/>
              <w:rPr>
                <w:rFonts w:ascii="Times New Roman" w:eastAsia="Times New Roman" w:hAnsi="Times New Roman" w:cs="Times New Roman"/>
                <w:bCs/>
                <w:sz w:val="20"/>
                <w:szCs w:val="20"/>
              </w:rPr>
            </w:pPr>
            <w:r w:rsidRPr="00BF3EBF">
              <w:rPr>
                <w:rFonts w:ascii="Times New Roman" w:eastAsia="Times New Roman" w:hAnsi="Times New Roman" w:cs="Times New Roman"/>
                <w:bCs/>
                <w:sz w:val="20"/>
                <w:szCs w:val="20"/>
              </w:rPr>
              <w:t>19502</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Cs/>
                <w:sz w:val="20"/>
                <w:szCs w:val="20"/>
              </w:rPr>
              <w:t>9.09</w:t>
            </w:r>
            <w:r w:rsidR="00B66E1A" w:rsidRPr="00BF3EBF">
              <w:rPr>
                <w:rFonts w:ascii="Times New Roman" w:eastAsia="Times New Roman" w:hAnsi="Times New Roman" w:cs="Times New Roman"/>
                <w:sz w:val="20"/>
                <w:szCs w:val="20"/>
              </w:rPr>
              <w:t>%</w:t>
            </w:r>
          </w:p>
        </w:tc>
        <w:tc>
          <w:tcPr>
            <w:tcW w:w="405" w:type="pct"/>
          </w:tcPr>
          <w:p w:rsidR="003F23F1" w:rsidRPr="00BF3EBF" w:rsidRDefault="00AE1047" w:rsidP="003F23F1">
            <w:pPr>
              <w:jc w:val="center"/>
              <w:rPr>
                <w:rFonts w:ascii="Times New Roman" w:eastAsia="Times New Roman" w:hAnsi="Times New Roman" w:cs="Times New Roman"/>
                <w:b/>
                <w:bCs/>
                <w:color w:val="FF0000"/>
                <w:sz w:val="20"/>
                <w:szCs w:val="20"/>
              </w:rPr>
            </w:pPr>
            <w:r w:rsidRPr="00BF3EBF">
              <w:rPr>
                <w:rFonts w:ascii="Times New Roman" w:eastAsia="Times New Roman" w:hAnsi="Times New Roman" w:cs="Times New Roman"/>
                <w:b/>
                <w:bCs/>
                <w:color w:val="FF0000"/>
                <w:sz w:val="20"/>
                <w:szCs w:val="20"/>
              </w:rPr>
              <w:t>19052</w:t>
            </w:r>
          </w:p>
          <w:p w:rsidR="00AE1047" w:rsidRPr="00BF3EBF" w:rsidRDefault="00AE1047" w:rsidP="003F23F1">
            <w:pPr>
              <w:jc w:val="center"/>
              <w:rPr>
                <w:rFonts w:ascii="Times New Roman" w:eastAsia="Times New Roman" w:hAnsi="Times New Roman" w:cs="Times New Roman"/>
                <w:sz w:val="20"/>
                <w:szCs w:val="20"/>
              </w:rPr>
            </w:pPr>
            <w:r w:rsidRPr="00BF3EBF">
              <w:rPr>
                <w:rFonts w:ascii="Times New Roman" w:hAnsi="Times New Roman" w:cs="Times New Roman"/>
                <w:sz w:val="20"/>
                <w:szCs w:val="20"/>
              </w:rPr>
              <w:t>8.84%</w:t>
            </w:r>
          </w:p>
        </w:tc>
        <w:tc>
          <w:tcPr>
            <w:tcW w:w="407" w:type="pct"/>
          </w:tcPr>
          <w:p w:rsidR="00AE1047" w:rsidRPr="00B66E1A" w:rsidRDefault="00AE1047" w:rsidP="00AE1047">
            <w:pPr>
              <w:jc w:val="center"/>
              <w:rPr>
                <w:rFonts w:ascii="Times New Roman" w:eastAsia="Times New Roman" w:hAnsi="Times New Roman" w:cs="Times New Roman"/>
                <w:b/>
                <w:bCs/>
                <w:color w:val="FF0000"/>
                <w:sz w:val="20"/>
                <w:szCs w:val="20"/>
              </w:rPr>
            </w:pPr>
            <w:r w:rsidRPr="00B66E1A">
              <w:rPr>
                <w:rFonts w:ascii="Times New Roman" w:eastAsia="Times New Roman" w:hAnsi="Times New Roman" w:cs="Times New Roman"/>
                <w:b/>
                <w:color w:val="FF0000"/>
                <w:sz w:val="20"/>
                <w:szCs w:val="20"/>
              </w:rPr>
              <w:t>17592</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Cs/>
                <w:sz w:val="20"/>
                <w:szCs w:val="20"/>
              </w:rPr>
              <w:t>8.95</w:t>
            </w:r>
            <w:r w:rsidR="00B66E1A" w:rsidRPr="00BF3EBF">
              <w:rPr>
                <w:rFonts w:ascii="Times New Roman" w:eastAsia="Times New Roman" w:hAnsi="Times New Roman" w:cs="Times New Roman"/>
                <w:sz w:val="20"/>
                <w:szCs w:val="20"/>
              </w:rPr>
              <w:t>%</w:t>
            </w:r>
          </w:p>
        </w:tc>
        <w:tc>
          <w:tcPr>
            <w:tcW w:w="406" w:type="pct"/>
          </w:tcPr>
          <w:p w:rsidR="00AE1047" w:rsidRPr="00BF3EBF" w:rsidRDefault="00AE1047" w:rsidP="003F23F1">
            <w:pPr>
              <w:jc w:val="center"/>
              <w:rPr>
                <w:rFonts w:ascii="Times New Roman" w:eastAsia="Times New Roman" w:hAnsi="Times New Roman" w:cs="Times New Roman"/>
                <w:b/>
                <w:sz w:val="20"/>
                <w:szCs w:val="20"/>
                <w:u w:val="single"/>
              </w:rPr>
            </w:pPr>
            <w:r w:rsidRPr="00BF3EBF">
              <w:rPr>
                <w:rFonts w:ascii="Times New Roman" w:eastAsia="Times New Roman" w:hAnsi="Times New Roman" w:cs="Times New Roman"/>
                <w:b/>
                <w:bCs/>
                <w:color w:val="FF0000"/>
                <w:sz w:val="20"/>
                <w:szCs w:val="20"/>
                <w:u w:val="single"/>
              </w:rPr>
              <w:t>15811</w:t>
            </w:r>
          </w:p>
          <w:p w:rsidR="003F23F1" w:rsidRPr="00BF3EBF" w:rsidRDefault="003F23F1" w:rsidP="003F23F1">
            <w:pPr>
              <w:jc w:val="center"/>
              <w:rPr>
                <w:rFonts w:ascii="Times New Roman" w:eastAsia="Times New Roman" w:hAnsi="Times New Roman" w:cs="Times New Roman"/>
                <w:b/>
                <w:sz w:val="20"/>
                <w:szCs w:val="20"/>
                <w:u w:val="single"/>
              </w:rPr>
            </w:pPr>
            <w:r w:rsidRPr="00BF3EBF">
              <w:rPr>
                <w:rFonts w:ascii="Times New Roman" w:eastAsia="Times New Roman" w:hAnsi="Times New Roman" w:cs="Times New Roman"/>
                <w:b/>
                <w:sz w:val="20"/>
                <w:szCs w:val="20"/>
                <w:u w:val="single"/>
              </w:rPr>
              <w:t>8.75%</w:t>
            </w:r>
          </w:p>
        </w:tc>
      </w:tr>
    </w:tbl>
    <w:p w:rsidR="00BF3EBF" w:rsidRPr="0099484D" w:rsidRDefault="003F23F1" w:rsidP="00BF3EBF">
      <w:pPr>
        <w:shd w:val="clear" w:color="auto" w:fill="FFFFFF"/>
        <w:spacing w:after="0"/>
        <w:ind w:firstLine="720"/>
        <w:jc w:val="both"/>
        <w:rPr>
          <w:rStyle w:val="Hyperlink"/>
          <w:rFonts w:ascii="Times New Roman" w:hAnsi="Times New Roman" w:cs="Times New Roman"/>
          <w:sz w:val="20"/>
          <w:szCs w:val="20"/>
          <w:vertAlign w:val="superscript"/>
          <w:lang w:val="ro-RO"/>
        </w:rPr>
      </w:pPr>
      <w:r w:rsidRPr="003F23F1">
        <w:rPr>
          <w:rFonts w:ascii="Times New Roman" w:hAnsi="Times New Roman" w:cs="Times New Roman"/>
          <w:sz w:val="20"/>
          <w:szCs w:val="20"/>
          <w:lang w:val="ro-RO"/>
        </w:rPr>
        <w:t xml:space="preserve">Sursa: </w:t>
      </w:r>
      <w:hyperlink r:id="rId27" w:anchor="/pages/tables/insse-table" w:history="1">
        <w:r w:rsidR="00BF3EBF" w:rsidRPr="001951FA">
          <w:rPr>
            <w:rStyle w:val="Hyperlink"/>
            <w:rFonts w:ascii="Times New Roman" w:hAnsi="Times New Roman" w:cs="Times New Roman"/>
            <w:sz w:val="20"/>
            <w:szCs w:val="20"/>
            <w:lang w:val="ro-RO"/>
          </w:rPr>
          <w:t>http://statistici.insse.ro:8077/tempo-online/#/pages/tables/insse-table</w:t>
        </w:r>
      </w:hyperlink>
      <w:r w:rsidR="0099484D">
        <w:rPr>
          <w:rStyle w:val="Hyperlink"/>
          <w:rFonts w:ascii="Times New Roman" w:hAnsi="Times New Roman" w:cs="Times New Roman"/>
          <w:sz w:val="20"/>
          <w:szCs w:val="20"/>
          <w:vertAlign w:val="superscript"/>
          <w:lang w:val="ro-RO"/>
        </w:rPr>
        <w:t>17</w:t>
      </w:r>
    </w:p>
    <w:p w:rsidR="003F23F1" w:rsidRPr="003F23F1" w:rsidRDefault="003F23F1" w:rsidP="003F23F1">
      <w:pPr>
        <w:spacing w:after="0"/>
        <w:rPr>
          <w:rFonts w:ascii="Times New Roman" w:hAnsi="Times New Roman" w:cs="Times New Roman"/>
          <w:sz w:val="28"/>
          <w:szCs w:val="28"/>
        </w:rPr>
      </w:pPr>
      <w:r w:rsidRPr="003F23F1">
        <w:rPr>
          <w:rFonts w:ascii="Times New Roman" w:eastAsia="Times New Roman" w:hAnsi="Times New Roman" w:cs="Times New Roman"/>
          <w:b/>
        </w:rPr>
        <w:t xml:space="preserve">Tabel </w:t>
      </w:r>
      <w:r w:rsidR="00FB0095">
        <w:rPr>
          <w:rFonts w:ascii="Times New Roman" w:eastAsia="Times New Roman" w:hAnsi="Times New Roman" w:cs="Times New Roman"/>
          <w:b/>
        </w:rPr>
        <w:t>6</w:t>
      </w:r>
      <w:r w:rsidRPr="003F23F1">
        <w:rPr>
          <w:rFonts w:ascii="Times New Roman" w:eastAsia="Times New Roman" w:hAnsi="Times New Roman" w:cs="Times New Roman"/>
          <w:b/>
        </w:rPr>
        <w:t>. Rata de fertilitate pe medii de rezidență, grup</w:t>
      </w:r>
      <w:r w:rsidR="00CB718A">
        <w:rPr>
          <w:rFonts w:ascii="Times New Roman" w:eastAsia="Times New Roman" w:hAnsi="Times New Roman" w:cs="Times New Roman"/>
          <w:b/>
        </w:rPr>
        <w:t>a</w:t>
      </w:r>
      <w:r w:rsidRPr="003F23F1">
        <w:rPr>
          <w:rFonts w:ascii="Times New Roman" w:eastAsia="Times New Roman" w:hAnsi="Times New Roman" w:cs="Times New Roman"/>
          <w:b/>
        </w:rPr>
        <w:t xml:space="preserve"> de vârstă </w:t>
      </w:r>
      <w:r w:rsidR="00CB718A">
        <w:rPr>
          <w:rFonts w:ascii="Times New Roman" w:eastAsia="Times New Roman" w:hAnsi="Times New Roman" w:cs="Times New Roman"/>
          <w:b/>
        </w:rPr>
        <w:t>15-19 ani a</w:t>
      </w:r>
      <w:r w:rsidRPr="003F23F1">
        <w:rPr>
          <w:rFonts w:ascii="Times New Roman" w:eastAsia="Times New Roman" w:hAnsi="Times New Roman" w:cs="Times New Roman"/>
          <w:b/>
        </w:rPr>
        <w:t>le mamei</w:t>
      </w:r>
      <w:r w:rsidR="00CB718A">
        <w:rPr>
          <w:rFonts w:ascii="Times New Roman" w:eastAsia="Times New Roman" w:hAnsi="Times New Roman" w:cs="Times New Roman"/>
          <w:b/>
        </w:rPr>
        <w:t xml:space="preserve"> </w:t>
      </w:r>
      <w:r w:rsidRPr="003F23F1">
        <w:rPr>
          <w:rFonts w:ascii="Times New Roman" w:eastAsia="Times New Roman" w:hAnsi="Times New Roman" w:cs="Times New Roman"/>
          <w:b/>
        </w:rPr>
        <w:t xml:space="preserve">, România, 2012-2021 </w:t>
      </w:r>
      <w:r w:rsidR="005E082F">
        <w:rPr>
          <w:rFonts w:ascii="Times New Roman" w:eastAsia="Times New Roman" w:hAnsi="Times New Roman" w:cs="Times New Roman"/>
          <w:b/>
        </w:rPr>
        <w:t>(născ. vii %oo femei fertile)</w:t>
      </w:r>
    </w:p>
    <w:tbl>
      <w:tblPr>
        <w:tblStyle w:val="TableGrid1"/>
        <w:tblW w:w="4816" w:type="pct"/>
        <w:tblLayout w:type="fixed"/>
        <w:tblLook w:val="04A0" w:firstRow="1" w:lastRow="0" w:firstColumn="1" w:lastColumn="0" w:noHBand="0" w:noVBand="1"/>
      </w:tblPr>
      <w:tblGrid>
        <w:gridCol w:w="1078"/>
        <w:gridCol w:w="1222"/>
        <w:gridCol w:w="720"/>
        <w:gridCol w:w="719"/>
        <w:gridCol w:w="631"/>
        <w:gridCol w:w="719"/>
        <w:gridCol w:w="631"/>
        <w:gridCol w:w="719"/>
        <w:gridCol w:w="719"/>
        <w:gridCol w:w="631"/>
        <w:gridCol w:w="719"/>
        <w:gridCol w:w="716"/>
      </w:tblGrid>
      <w:tr w:rsidR="00CB718A" w:rsidRPr="003F23F1" w:rsidTr="00D6269E">
        <w:tc>
          <w:tcPr>
            <w:tcW w:w="584" w:type="pct"/>
            <w:vMerge w:val="restar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Medii de rezidență</w:t>
            </w:r>
          </w:p>
        </w:tc>
        <w:tc>
          <w:tcPr>
            <w:tcW w:w="662" w:type="pct"/>
            <w:vMerge w:val="restar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Grupe de vârstă ale mamei </w:t>
            </w:r>
          </w:p>
        </w:tc>
        <w:tc>
          <w:tcPr>
            <w:tcW w:w="3753" w:type="pct"/>
            <w:gridSpan w:val="10"/>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Ani</w:t>
            </w:r>
          </w:p>
        </w:tc>
      </w:tr>
      <w:tr w:rsidR="00CB718A" w:rsidRPr="003F23F1" w:rsidTr="00D6269E">
        <w:tc>
          <w:tcPr>
            <w:tcW w:w="584" w:type="pct"/>
            <w:vMerge/>
            <w:hideMark/>
          </w:tcPr>
          <w:p w:rsidR="00CB718A" w:rsidRPr="003F23F1" w:rsidRDefault="00CB718A" w:rsidP="003F23F1">
            <w:pPr>
              <w:rPr>
                <w:rFonts w:ascii="Times New Roman" w:eastAsia="Times New Roman" w:hAnsi="Times New Roman" w:cs="Times New Roman"/>
                <w:b/>
                <w:bCs/>
                <w:sz w:val="20"/>
                <w:szCs w:val="20"/>
              </w:rPr>
            </w:pPr>
          </w:p>
        </w:tc>
        <w:tc>
          <w:tcPr>
            <w:tcW w:w="662" w:type="pct"/>
            <w:vMerge/>
            <w:hideMark/>
          </w:tcPr>
          <w:p w:rsidR="00CB718A" w:rsidRPr="003F23F1" w:rsidRDefault="00CB718A" w:rsidP="003F23F1">
            <w:pPr>
              <w:rPr>
                <w:rFonts w:ascii="Times New Roman" w:eastAsia="Times New Roman" w:hAnsi="Times New Roman" w:cs="Times New Roman"/>
                <w:b/>
                <w:bCs/>
                <w:sz w:val="20"/>
                <w:szCs w:val="20"/>
              </w:rPr>
            </w:pP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2012</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2013</w:t>
            </w:r>
          </w:p>
        </w:tc>
        <w:tc>
          <w:tcPr>
            <w:tcW w:w="34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2014</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2015</w:t>
            </w:r>
          </w:p>
        </w:tc>
        <w:tc>
          <w:tcPr>
            <w:tcW w:w="34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2016</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2017</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2018</w:t>
            </w:r>
          </w:p>
        </w:tc>
        <w:tc>
          <w:tcPr>
            <w:tcW w:w="34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2019</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2020</w:t>
            </w:r>
          </w:p>
        </w:tc>
        <w:tc>
          <w:tcPr>
            <w:tcW w:w="388"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2021</w:t>
            </w:r>
          </w:p>
        </w:tc>
      </w:tr>
      <w:tr w:rsidR="00CB718A" w:rsidRPr="003F23F1" w:rsidTr="00D6269E">
        <w:trPr>
          <w:trHeight w:val="215"/>
        </w:trPr>
        <w:tc>
          <w:tcPr>
            <w:tcW w:w="584" w:type="pct"/>
            <w:vMerge/>
            <w:hideMark/>
          </w:tcPr>
          <w:p w:rsidR="00CB718A" w:rsidRPr="003F23F1" w:rsidRDefault="00CB718A" w:rsidP="003F23F1">
            <w:pPr>
              <w:rPr>
                <w:rFonts w:ascii="Times New Roman" w:eastAsia="Times New Roman" w:hAnsi="Times New Roman" w:cs="Times New Roman"/>
                <w:b/>
                <w:bCs/>
                <w:sz w:val="20"/>
                <w:szCs w:val="20"/>
              </w:rPr>
            </w:pPr>
          </w:p>
        </w:tc>
        <w:tc>
          <w:tcPr>
            <w:tcW w:w="662" w:type="pct"/>
            <w:vMerge/>
            <w:hideMark/>
          </w:tcPr>
          <w:p w:rsidR="00CB718A" w:rsidRPr="003F23F1" w:rsidRDefault="00CB718A" w:rsidP="003F23F1">
            <w:pPr>
              <w:rPr>
                <w:rFonts w:ascii="Times New Roman" w:eastAsia="Times New Roman" w:hAnsi="Times New Roman" w:cs="Times New Roman"/>
                <w:b/>
                <w:bCs/>
                <w:sz w:val="20"/>
                <w:szCs w:val="20"/>
              </w:rPr>
            </w:pPr>
          </w:p>
        </w:tc>
        <w:tc>
          <w:tcPr>
            <w:tcW w:w="3753" w:type="pct"/>
            <w:gridSpan w:val="10"/>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Nascuții vii la 1000 femei in varsta fertila</w:t>
            </w:r>
          </w:p>
        </w:tc>
      </w:tr>
      <w:tr w:rsidR="00CB718A" w:rsidRPr="003F23F1" w:rsidTr="00D6269E">
        <w:tc>
          <w:tcPr>
            <w:tcW w:w="584" w:type="pct"/>
            <w:vMerge w:val="restar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Total </w:t>
            </w:r>
          </w:p>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35.6</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38.2</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36.1</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36.8</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37.5</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38.6</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39.6</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40.4</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38.4</w:t>
            </w:r>
          </w:p>
        </w:tc>
        <w:tc>
          <w:tcPr>
            <w:tcW w:w="388"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u w:val="single"/>
              </w:rPr>
              <w:t>34.8</w:t>
            </w:r>
          </w:p>
        </w:tc>
      </w:tr>
      <w:tr w:rsidR="00CB718A" w:rsidRPr="003F23F1" w:rsidTr="00D6269E">
        <w:tc>
          <w:tcPr>
            <w:tcW w:w="584" w:type="pct"/>
            <w:vMerge/>
            <w:hideMark/>
          </w:tcPr>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15-19 ani</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34.5</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36.3</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34.5</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34.5</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35.7</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35.6</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35.2</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34.7</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32.2</w:t>
            </w:r>
          </w:p>
        </w:tc>
        <w:tc>
          <w:tcPr>
            <w:tcW w:w="388" w:type="pct"/>
            <w:hideMark/>
          </w:tcPr>
          <w:p w:rsidR="00CB718A" w:rsidRPr="00CB718A" w:rsidRDefault="00CB718A" w:rsidP="003F23F1">
            <w:pPr>
              <w:jc w:val="right"/>
              <w:rPr>
                <w:rFonts w:ascii="Times New Roman" w:eastAsia="Times New Roman" w:hAnsi="Times New Roman" w:cs="Times New Roman"/>
                <w:b/>
                <w:sz w:val="20"/>
                <w:szCs w:val="20"/>
              </w:rPr>
            </w:pPr>
            <w:r w:rsidRPr="00CB718A">
              <w:rPr>
                <w:rFonts w:ascii="Times New Roman" w:eastAsia="Times New Roman" w:hAnsi="Times New Roman" w:cs="Times New Roman"/>
                <w:b/>
                <w:sz w:val="20"/>
                <w:szCs w:val="20"/>
                <w:u w:val="single"/>
              </w:rPr>
              <w:t>29</w:t>
            </w:r>
          </w:p>
        </w:tc>
      </w:tr>
      <w:tr w:rsidR="00CB718A" w:rsidRPr="003F23F1" w:rsidTr="00D6269E">
        <w:tc>
          <w:tcPr>
            <w:tcW w:w="584" w:type="pct"/>
            <w:vMerge w:val="restar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Urban </w:t>
            </w:r>
          </w:p>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32</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35.1</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33.2</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34.4</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35.2</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36.6</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38</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38.9</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36.1</w:t>
            </w:r>
          </w:p>
        </w:tc>
        <w:tc>
          <w:tcPr>
            <w:tcW w:w="388"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u w:val="single"/>
              </w:rPr>
              <w:t>32</w:t>
            </w:r>
          </w:p>
        </w:tc>
      </w:tr>
      <w:tr w:rsidR="00CB718A" w:rsidRPr="00CB718A" w:rsidTr="00D6269E">
        <w:tc>
          <w:tcPr>
            <w:tcW w:w="584" w:type="pct"/>
            <w:vMerge/>
            <w:hideMark/>
          </w:tcPr>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15-19 ani</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23.1</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25.1</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22.9</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23.6</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24.4</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24.7</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25</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24.6</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22</w:t>
            </w:r>
          </w:p>
        </w:tc>
        <w:tc>
          <w:tcPr>
            <w:tcW w:w="388" w:type="pct"/>
            <w:hideMark/>
          </w:tcPr>
          <w:p w:rsidR="00CB718A" w:rsidRPr="00CB718A" w:rsidRDefault="00CB718A" w:rsidP="003F23F1">
            <w:pPr>
              <w:jc w:val="right"/>
              <w:rPr>
                <w:rFonts w:ascii="Times New Roman" w:eastAsia="Times New Roman" w:hAnsi="Times New Roman" w:cs="Times New Roman"/>
                <w:b/>
                <w:sz w:val="20"/>
                <w:szCs w:val="20"/>
              </w:rPr>
            </w:pPr>
            <w:r w:rsidRPr="00CB718A">
              <w:rPr>
                <w:rFonts w:ascii="Times New Roman" w:eastAsia="Times New Roman" w:hAnsi="Times New Roman" w:cs="Times New Roman"/>
                <w:b/>
                <w:sz w:val="20"/>
                <w:szCs w:val="20"/>
                <w:u w:val="single"/>
              </w:rPr>
              <w:t>18.7</w:t>
            </w:r>
          </w:p>
        </w:tc>
      </w:tr>
      <w:tr w:rsidR="00CB718A" w:rsidRPr="003F23F1" w:rsidTr="00D6269E">
        <w:tc>
          <w:tcPr>
            <w:tcW w:w="584" w:type="pct"/>
            <w:vMerge w:val="restar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Rural </w:t>
            </w:r>
          </w:p>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41.1</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42.7</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40.2</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40.2</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40.7</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41.3</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41.8</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42.5</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41.6</w:t>
            </w:r>
          </w:p>
        </w:tc>
        <w:tc>
          <w:tcPr>
            <w:tcW w:w="388"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u w:val="single"/>
              </w:rPr>
              <w:t>38.7</w:t>
            </w:r>
          </w:p>
        </w:tc>
      </w:tr>
      <w:tr w:rsidR="00CB718A" w:rsidRPr="003F23F1" w:rsidTr="00D6269E">
        <w:tc>
          <w:tcPr>
            <w:tcW w:w="584" w:type="pct"/>
            <w:vMerge/>
            <w:hideMark/>
          </w:tcPr>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15-19 ani</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45.5</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46.8</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45.3</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44.5</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46</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45.5</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44.6</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44.2</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42</w:t>
            </w:r>
          </w:p>
        </w:tc>
        <w:tc>
          <w:tcPr>
            <w:tcW w:w="388" w:type="pct"/>
            <w:hideMark/>
          </w:tcPr>
          <w:p w:rsidR="00CB718A" w:rsidRPr="00CB718A" w:rsidRDefault="00CB718A" w:rsidP="003F23F1">
            <w:pPr>
              <w:jc w:val="right"/>
              <w:rPr>
                <w:rFonts w:ascii="Times New Roman" w:eastAsia="Times New Roman" w:hAnsi="Times New Roman" w:cs="Times New Roman"/>
                <w:b/>
                <w:sz w:val="20"/>
                <w:szCs w:val="20"/>
              </w:rPr>
            </w:pPr>
            <w:r w:rsidRPr="00CB718A">
              <w:rPr>
                <w:rFonts w:ascii="Times New Roman" w:eastAsia="Times New Roman" w:hAnsi="Times New Roman" w:cs="Times New Roman"/>
                <w:b/>
                <w:sz w:val="20"/>
                <w:szCs w:val="20"/>
                <w:u w:val="single"/>
              </w:rPr>
              <w:t>39.2</w:t>
            </w:r>
          </w:p>
        </w:tc>
      </w:tr>
    </w:tbl>
    <w:p w:rsidR="003F23F1" w:rsidRPr="0099484D" w:rsidRDefault="003F23F1" w:rsidP="003F23F1">
      <w:pPr>
        <w:shd w:val="clear" w:color="auto" w:fill="FFFFFF"/>
        <w:spacing w:after="0"/>
        <w:ind w:firstLine="720"/>
        <w:jc w:val="both"/>
        <w:rPr>
          <w:rFonts w:ascii="Times New Roman" w:hAnsi="Times New Roman" w:cs="Times New Roman"/>
          <w:color w:val="0000FF"/>
          <w:sz w:val="20"/>
          <w:szCs w:val="20"/>
          <w:u w:val="single"/>
          <w:vertAlign w:val="superscript"/>
          <w:lang w:val="ro-RO"/>
        </w:rPr>
      </w:pPr>
      <w:r w:rsidRPr="003F23F1">
        <w:rPr>
          <w:rFonts w:ascii="Times New Roman" w:hAnsi="Times New Roman" w:cs="Times New Roman"/>
          <w:sz w:val="20"/>
          <w:szCs w:val="20"/>
          <w:lang w:val="ro-RO"/>
        </w:rPr>
        <w:t xml:space="preserve">Sursa: </w:t>
      </w:r>
      <w:hyperlink r:id="rId28" w:anchor="/pages/tables/insse-table" w:history="1">
        <w:r w:rsidRPr="003F23F1">
          <w:rPr>
            <w:rFonts w:ascii="Times New Roman" w:hAnsi="Times New Roman" w:cs="Times New Roman"/>
            <w:color w:val="0000FF"/>
            <w:sz w:val="20"/>
            <w:szCs w:val="20"/>
            <w:u w:val="single"/>
            <w:lang w:val="ro-RO"/>
          </w:rPr>
          <w:t>http://statistici.insse.ro:8077/tempo-online/#/pages/tables/insse-table</w:t>
        </w:r>
      </w:hyperlink>
      <w:r w:rsidR="0099484D">
        <w:rPr>
          <w:rFonts w:ascii="Times New Roman" w:hAnsi="Times New Roman" w:cs="Times New Roman"/>
          <w:color w:val="0000FF"/>
          <w:sz w:val="20"/>
          <w:szCs w:val="20"/>
          <w:u w:val="single"/>
          <w:vertAlign w:val="superscript"/>
          <w:lang w:val="ro-RO"/>
        </w:rPr>
        <w:t>17</w:t>
      </w:r>
    </w:p>
    <w:p w:rsidR="003F23F1" w:rsidRPr="00D6269E" w:rsidRDefault="00CB718A" w:rsidP="003F23F1">
      <w:pPr>
        <w:spacing w:after="0"/>
        <w:rPr>
          <w:rFonts w:ascii="Times New Roman" w:hAnsi="Times New Roman" w:cs="Times New Roman"/>
        </w:rPr>
      </w:pPr>
      <w:r w:rsidRPr="00D6269E">
        <w:rPr>
          <w:rFonts w:ascii="Times New Roman" w:hAnsi="Times New Roman" w:cs="Times New Roman"/>
        </w:rPr>
        <w:t>Ratele de fertilitate la mamele având vârste cuprinse între 15</w:t>
      </w:r>
      <w:r w:rsidR="00D85B48">
        <w:rPr>
          <w:rFonts w:ascii="Times New Roman" w:hAnsi="Times New Roman" w:cs="Times New Roman"/>
        </w:rPr>
        <w:t>-</w:t>
      </w:r>
      <w:r w:rsidRPr="00D6269E">
        <w:rPr>
          <w:rFonts w:ascii="Times New Roman" w:hAnsi="Times New Roman" w:cs="Times New Roman"/>
        </w:rPr>
        <w:t>19 ani sunt mai crescute în mediul rural (39,2)</w:t>
      </w:r>
      <w:r w:rsidR="0057360F">
        <w:rPr>
          <w:rFonts w:ascii="Times New Roman" w:hAnsi="Times New Roman" w:cs="Times New Roman"/>
        </w:rPr>
        <w:t xml:space="preserve"> </w:t>
      </w:r>
      <w:r w:rsidRPr="00D6269E">
        <w:rPr>
          <w:rFonts w:ascii="Times New Roman" w:hAnsi="Times New Roman" w:cs="Times New Roman"/>
        </w:rPr>
        <w:t>față de mediul urban (</w:t>
      </w:r>
      <w:r w:rsidR="00D6269E" w:rsidRPr="00D6269E">
        <w:rPr>
          <w:rFonts w:ascii="Times New Roman" w:hAnsi="Times New Roman" w:cs="Times New Roman"/>
        </w:rPr>
        <w:t>18,7).</w:t>
      </w:r>
    </w:p>
    <w:p w:rsidR="00D1097E" w:rsidRPr="00D1097E" w:rsidRDefault="00FB0095" w:rsidP="00D1097E">
      <w:pPr>
        <w:spacing w:after="0"/>
        <w:rPr>
          <w:rFonts w:ascii="Times New Roman" w:hAnsi="Times New Roman" w:cs="Times New Roman"/>
          <w:b/>
          <w:sz w:val="32"/>
          <w:szCs w:val="32"/>
          <w:u w:val="single"/>
        </w:rPr>
      </w:pPr>
      <w:r>
        <w:rPr>
          <w:rFonts w:ascii="Times New Roman" w:eastAsia="Times New Roman" w:hAnsi="Times New Roman" w:cs="Times New Roman"/>
          <w:b/>
        </w:rPr>
        <w:t>Tabel 7</w:t>
      </w:r>
      <w:r w:rsidR="00D1097E" w:rsidRPr="00D1097E">
        <w:rPr>
          <w:rFonts w:ascii="Times New Roman" w:eastAsia="Times New Roman" w:hAnsi="Times New Roman" w:cs="Times New Roman"/>
          <w:b/>
        </w:rPr>
        <w:t>. Vârsta medie a mamei la prima naștere, pe medii de rezidență în România, în perioada 2011-202</w:t>
      </w:r>
      <w:r w:rsidR="00AB00FC">
        <w:rPr>
          <w:rFonts w:ascii="Times New Roman" w:eastAsia="Times New Roman" w:hAnsi="Times New Roman" w:cs="Times New Roman"/>
          <w:b/>
        </w:rPr>
        <w:t>1</w:t>
      </w:r>
    </w:p>
    <w:tbl>
      <w:tblPr>
        <w:tblStyle w:val="TableGrid5"/>
        <w:tblW w:w="10264" w:type="dxa"/>
        <w:tblLook w:val="04A0" w:firstRow="1" w:lastRow="0" w:firstColumn="1" w:lastColumn="0" w:noHBand="0" w:noVBand="1"/>
      </w:tblPr>
      <w:tblGrid>
        <w:gridCol w:w="2580"/>
        <w:gridCol w:w="1524"/>
        <w:gridCol w:w="616"/>
        <w:gridCol w:w="616"/>
        <w:gridCol w:w="616"/>
        <w:gridCol w:w="616"/>
        <w:gridCol w:w="616"/>
        <w:gridCol w:w="616"/>
        <w:gridCol w:w="616"/>
        <w:gridCol w:w="616"/>
        <w:gridCol w:w="616"/>
        <w:gridCol w:w="616"/>
      </w:tblGrid>
      <w:tr w:rsidR="00D1097E" w:rsidRPr="00D1097E" w:rsidTr="002306FB">
        <w:trPr>
          <w:trHeight w:val="216"/>
        </w:trPr>
        <w:tc>
          <w:tcPr>
            <w:tcW w:w="0" w:type="auto"/>
            <w:vMerge w:val="restart"/>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Prima naștere</w:t>
            </w:r>
          </w:p>
        </w:tc>
        <w:tc>
          <w:tcPr>
            <w:tcW w:w="0" w:type="auto"/>
            <w:vMerge w:val="restart"/>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Medii de rezidență</w:t>
            </w:r>
          </w:p>
        </w:tc>
        <w:tc>
          <w:tcPr>
            <w:tcW w:w="0" w:type="auto"/>
            <w:gridSpan w:val="10"/>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Ani</w:t>
            </w:r>
          </w:p>
        </w:tc>
      </w:tr>
      <w:tr w:rsidR="00D1097E" w:rsidRPr="00D1097E" w:rsidTr="002306FB">
        <w:trPr>
          <w:trHeight w:val="216"/>
        </w:trPr>
        <w:tc>
          <w:tcPr>
            <w:tcW w:w="0" w:type="auto"/>
            <w:vMerge/>
            <w:hideMark/>
          </w:tcPr>
          <w:p w:rsidR="00D1097E" w:rsidRPr="00D1097E" w:rsidRDefault="00D1097E" w:rsidP="00D1097E">
            <w:pPr>
              <w:rPr>
                <w:rFonts w:ascii="Times New Roman" w:eastAsia="Times New Roman" w:hAnsi="Times New Roman" w:cs="Times New Roman"/>
                <w:b/>
                <w:bCs/>
                <w:sz w:val="20"/>
                <w:szCs w:val="20"/>
              </w:rPr>
            </w:pPr>
          </w:p>
        </w:tc>
        <w:tc>
          <w:tcPr>
            <w:tcW w:w="0" w:type="auto"/>
            <w:vMerge/>
            <w:hideMark/>
          </w:tcPr>
          <w:p w:rsidR="00D1097E" w:rsidRPr="00D1097E" w:rsidRDefault="00D1097E" w:rsidP="00D1097E">
            <w:pPr>
              <w:rPr>
                <w:rFonts w:ascii="Times New Roman" w:eastAsia="Times New Roman" w:hAnsi="Times New Roman" w:cs="Times New Roman"/>
                <w:b/>
                <w:bCs/>
                <w:sz w:val="20"/>
                <w:szCs w:val="20"/>
              </w:rPr>
            </w:pP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2012</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2013</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2014</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2015</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2016</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2017</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2018</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2019</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2020</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2021</w:t>
            </w:r>
          </w:p>
        </w:tc>
      </w:tr>
      <w:tr w:rsidR="00D1097E" w:rsidRPr="00D1097E" w:rsidTr="002306FB">
        <w:trPr>
          <w:trHeight w:val="160"/>
        </w:trPr>
        <w:tc>
          <w:tcPr>
            <w:tcW w:w="0" w:type="auto"/>
            <w:vMerge/>
            <w:hideMark/>
          </w:tcPr>
          <w:p w:rsidR="00D1097E" w:rsidRPr="00D1097E" w:rsidRDefault="00D1097E" w:rsidP="00D1097E">
            <w:pPr>
              <w:rPr>
                <w:rFonts w:ascii="Times New Roman" w:eastAsia="Times New Roman" w:hAnsi="Times New Roman" w:cs="Times New Roman"/>
                <w:b/>
                <w:bCs/>
                <w:sz w:val="20"/>
                <w:szCs w:val="20"/>
              </w:rPr>
            </w:pPr>
          </w:p>
        </w:tc>
        <w:tc>
          <w:tcPr>
            <w:tcW w:w="0" w:type="auto"/>
            <w:vMerge/>
            <w:hideMark/>
          </w:tcPr>
          <w:p w:rsidR="00D1097E" w:rsidRPr="00D1097E" w:rsidRDefault="00D1097E" w:rsidP="00D1097E">
            <w:pPr>
              <w:rPr>
                <w:rFonts w:ascii="Times New Roman" w:eastAsia="Times New Roman" w:hAnsi="Times New Roman" w:cs="Times New Roman"/>
                <w:b/>
                <w:bCs/>
                <w:sz w:val="20"/>
                <w:szCs w:val="20"/>
              </w:rPr>
            </w:pPr>
          </w:p>
        </w:tc>
        <w:tc>
          <w:tcPr>
            <w:tcW w:w="0" w:type="auto"/>
            <w:gridSpan w:val="10"/>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Ani</w:t>
            </w:r>
          </w:p>
        </w:tc>
      </w:tr>
      <w:tr w:rsidR="00D1097E" w:rsidRPr="00D1097E" w:rsidTr="002306FB">
        <w:trPr>
          <w:trHeight w:val="216"/>
        </w:trPr>
        <w:tc>
          <w:tcPr>
            <w:tcW w:w="0" w:type="auto"/>
            <w:vMerge w:val="restart"/>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Vârsta medie a mamei la prima naștere</w:t>
            </w:r>
          </w:p>
        </w:tc>
        <w:tc>
          <w:tcPr>
            <w:tcW w:w="0" w:type="auto"/>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 xml:space="preserve">Total </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26.3</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26.6</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26.9</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27</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27.1</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27.3</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27.4</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27.7</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27.8</w:t>
            </w:r>
          </w:p>
        </w:tc>
        <w:tc>
          <w:tcPr>
            <w:tcW w:w="0" w:type="auto"/>
          </w:tcPr>
          <w:p w:rsidR="00D1097E" w:rsidRPr="00D1097E" w:rsidRDefault="00D1097E" w:rsidP="00D1097E">
            <w:pPr>
              <w:jc w:val="right"/>
              <w:rPr>
                <w:rFonts w:ascii="Times New Roman" w:eastAsia="Times New Roman" w:hAnsi="Times New Roman" w:cs="Times New Roman"/>
                <w:b/>
                <w:sz w:val="20"/>
                <w:szCs w:val="20"/>
                <w:u w:val="single"/>
              </w:rPr>
            </w:pPr>
            <w:r w:rsidRPr="00D1097E">
              <w:rPr>
                <w:rFonts w:ascii="Times New Roman" w:eastAsia="Times New Roman" w:hAnsi="Times New Roman" w:cs="Times New Roman"/>
                <w:b/>
                <w:sz w:val="20"/>
                <w:szCs w:val="20"/>
                <w:u w:val="single"/>
              </w:rPr>
              <w:t>27.5</w:t>
            </w:r>
          </w:p>
        </w:tc>
      </w:tr>
      <w:tr w:rsidR="00D1097E" w:rsidRPr="00D1097E" w:rsidTr="002306FB">
        <w:trPr>
          <w:trHeight w:val="216"/>
        </w:trPr>
        <w:tc>
          <w:tcPr>
            <w:tcW w:w="0" w:type="auto"/>
            <w:vMerge/>
            <w:hideMark/>
          </w:tcPr>
          <w:p w:rsidR="00D1097E" w:rsidRPr="00D1097E" w:rsidRDefault="00D1097E" w:rsidP="00D1097E">
            <w:pPr>
              <w:jc w:val="center"/>
              <w:rPr>
                <w:rFonts w:ascii="Times New Roman" w:eastAsia="Times New Roman" w:hAnsi="Times New Roman" w:cs="Times New Roman"/>
                <w:b/>
                <w:bCs/>
                <w:sz w:val="20"/>
                <w:szCs w:val="20"/>
              </w:rPr>
            </w:pPr>
          </w:p>
        </w:tc>
        <w:tc>
          <w:tcPr>
            <w:tcW w:w="0" w:type="auto"/>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 xml:space="preserve">Urban </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27.8</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28.4</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28.5</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28.6</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28.8</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28.9</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29.2</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29.3</w:t>
            </w:r>
          </w:p>
        </w:tc>
        <w:tc>
          <w:tcPr>
            <w:tcW w:w="0" w:type="auto"/>
          </w:tcPr>
          <w:p w:rsidR="00D1097E" w:rsidRPr="00D1097E" w:rsidRDefault="00D1097E" w:rsidP="00D1097E">
            <w:pPr>
              <w:jc w:val="right"/>
              <w:rPr>
                <w:rFonts w:ascii="Times New Roman" w:eastAsia="Times New Roman" w:hAnsi="Times New Roman" w:cs="Times New Roman"/>
                <w:b/>
                <w:sz w:val="20"/>
                <w:szCs w:val="20"/>
                <w:u w:val="single"/>
              </w:rPr>
            </w:pPr>
            <w:r w:rsidRPr="00D1097E">
              <w:rPr>
                <w:rFonts w:ascii="Times New Roman" w:eastAsia="Times New Roman" w:hAnsi="Times New Roman" w:cs="Times New Roman"/>
                <w:b/>
                <w:sz w:val="20"/>
                <w:szCs w:val="20"/>
                <w:u w:val="single"/>
              </w:rPr>
              <w:t>29.2</w:t>
            </w:r>
          </w:p>
        </w:tc>
      </w:tr>
      <w:tr w:rsidR="00D1097E" w:rsidRPr="00D1097E" w:rsidTr="002306FB">
        <w:trPr>
          <w:trHeight w:val="216"/>
        </w:trPr>
        <w:tc>
          <w:tcPr>
            <w:tcW w:w="0" w:type="auto"/>
            <w:vMerge/>
            <w:hideMark/>
          </w:tcPr>
          <w:p w:rsidR="00D1097E" w:rsidRPr="00D1097E" w:rsidRDefault="00D1097E" w:rsidP="00D1097E">
            <w:pPr>
              <w:jc w:val="center"/>
              <w:rPr>
                <w:rFonts w:ascii="Times New Roman" w:eastAsia="Times New Roman" w:hAnsi="Times New Roman" w:cs="Times New Roman"/>
                <w:b/>
                <w:bCs/>
                <w:sz w:val="20"/>
                <w:szCs w:val="20"/>
              </w:rPr>
            </w:pPr>
          </w:p>
        </w:tc>
        <w:tc>
          <w:tcPr>
            <w:tcW w:w="0" w:type="auto"/>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 xml:space="preserve">Rural </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23.8</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24.3</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24.4</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24.6</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24.7</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24.9</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25.1</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25.4</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25.5</w:t>
            </w:r>
          </w:p>
        </w:tc>
        <w:tc>
          <w:tcPr>
            <w:tcW w:w="0" w:type="auto"/>
          </w:tcPr>
          <w:p w:rsidR="00D1097E" w:rsidRPr="00D1097E" w:rsidRDefault="00D1097E" w:rsidP="00D1097E">
            <w:pPr>
              <w:jc w:val="right"/>
              <w:rPr>
                <w:rFonts w:ascii="Times New Roman" w:eastAsia="Times New Roman" w:hAnsi="Times New Roman" w:cs="Times New Roman"/>
                <w:b/>
                <w:sz w:val="20"/>
                <w:szCs w:val="20"/>
                <w:u w:val="single"/>
              </w:rPr>
            </w:pPr>
            <w:r w:rsidRPr="00D1097E">
              <w:rPr>
                <w:rFonts w:ascii="Times New Roman" w:eastAsia="Times New Roman" w:hAnsi="Times New Roman" w:cs="Times New Roman"/>
                <w:b/>
                <w:sz w:val="20"/>
                <w:szCs w:val="20"/>
                <w:u w:val="single"/>
              </w:rPr>
              <w:t>25.2</w:t>
            </w:r>
          </w:p>
        </w:tc>
      </w:tr>
    </w:tbl>
    <w:p w:rsidR="00D1097E" w:rsidRPr="0099484D" w:rsidRDefault="00D1097E" w:rsidP="00D1097E">
      <w:pPr>
        <w:shd w:val="clear" w:color="auto" w:fill="FFFFFF"/>
        <w:spacing w:after="0"/>
        <w:ind w:firstLine="720"/>
        <w:jc w:val="both"/>
        <w:rPr>
          <w:rFonts w:ascii="Times New Roman" w:hAnsi="Times New Roman" w:cs="Times New Roman"/>
          <w:b/>
          <w:color w:val="0000FF"/>
          <w:sz w:val="20"/>
          <w:szCs w:val="20"/>
          <w:vertAlign w:val="superscript"/>
        </w:rPr>
      </w:pPr>
      <w:r w:rsidRPr="00D1097E">
        <w:rPr>
          <w:rFonts w:ascii="Times New Roman" w:hAnsi="Times New Roman" w:cs="Times New Roman"/>
          <w:b/>
          <w:sz w:val="20"/>
          <w:szCs w:val="20"/>
        </w:rPr>
        <w:t xml:space="preserve">Sursa: </w:t>
      </w:r>
      <w:hyperlink r:id="rId29" w:anchor="/pages/tables/insse-table" w:history="1">
        <w:r w:rsidRPr="00D1097E">
          <w:rPr>
            <w:rFonts w:ascii="Times New Roman" w:hAnsi="Times New Roman" w:cs="Times New Roman"/>
            <w:color w:val="0000FF"/>
            <w:sz w:val="20"/>
            <w:szCs w:val="20"/>
            <w:u w:val="single"/>
          </w:rPr>
          <w:t>http://statistici.insse.ro:8077/tempo-online/#/pages/tables/insse-table</w:t>
        </w:r>
      </w:hyperlink>
      <w:r w:rsidR="0099484D">
        <w:rPr>
          <w:rFonts w:ascii="Times New Roman" w:hAnsi="Times New Roman" w:cs="Times New Roman"/>
          <w:color w:val="0000FF"/>
          <w:sz w:val="20"/>
          <w:szCs w:val="20"/>
          <w:u w:val="single"/>
          <w:vertAlign w:val="superscript"/>
        </w:rPr>
        <w:t>17</w:t>
      </w:r>
    </w:p>
    <w:p w:rsidR="00AB00FC" w:rsidRPr="00AB00FC" w:rsidRDefault="00AB00FC" w:rsidP="00AB00FC">
      <w:pPr>
        <w:shd w:val="clear" w:color="auto" w:fill="FFFFFF"/>
        <w:spacing w:after="0"/>
        <w:jc w:val="both"/>
        <w:rPr>
          <w:rFonts w:ascii="Times New Roman" w:hAnsi="Times New Roman" w:cs="Times New Roman"/>
        </w:rPr>
      </w:pPr>
      <w:r w:rsidRPr="00AB00FC">
        <w:rPr>
          <w:rFonts w:ascii="Times New Roman" w:hAnsi="Times New Roman" w:cs="Times New Roman"/>
        </w:rPr>
        <w:t>În 2021 a crescut  vârsta medie a mamei la prima naștere, 27.5 ani, față de 26.3 ani în 2012, în mediul urban de la 27.8 ani la 29.2 ani, iar în mediul rural, de la 23.8 ani la 25.2 ani.</w:t>
      </w:r>
    </w:p>
    <w:p w:rsidR="002E414B" w:rsidRDefault="002E414B" w:rsidP="00D1097E">
      <w:pPr>
        <w:spacing w:after="0"/>
        <w:rPr>
          <w:rFonts w:ascii="Times New Roman" w:hAnsi="Times New Roman" w:cs="Times New Roman"/>
          <w:b/>
          <w:color w:val="FF0000"/>
        </w:rPr>
      </w:pPr>
    </w:p>
    <w:p w:rsidR="00022FEA" w:rsidRDefault="00022FEA" w:rsidP="00D1097E">
      <w:pPr>
        <w:spacing w:after="0"/>
        <w:rPr>
          <w:rFonts w:ascii="Times New Roman" w:hAnsi="Times New Roman" w:cs="Times New Roman"/>
          <w:b/>
        </w:rPr>
      </w:pPr>
    </w:p>
    <w:p w:rsidR="00022FEA" w:rsidRDefault="00022FEA" w:rsidP="00D1097E">
      <w:pPr>
        <w:spacing w:after="0"/>
        <w:rPr>
          <w:rFonts w:ascii="Times New Roman" w:hAnsi="Times New Roman" w:cs="Times New Roman"/>
          <w:b/>
        </w:rPr>
      </w:pPr>
    </w:p>
    <w:p w:rsidR="00D1097E" w:rsidRPr="00AB00FC" w:rsidRDefault="00D1097E" w:rsidP="00D1097E">
      <w:pPr>
        <w:spacing w:after="0"/>
        <w:rPr>
          <w:rFonts w:ascii="Times New Roman" w:hAnsi="Times New Roman" w:cs="Times New Roman"/>
          <w:b/>
        </w:rPr>
      </w:pPr>
      <w:r w:rsidRPr="00AB00FC">
        <w:rPr>
          <w:rFonts w:ascii="Times New Roman" w:hAnsi="Times New Roman" w:cs="Times New Roman"/>
          <w:b/>
        </w:rPr>
        <w:lastRenderedPageBreak/>
        <w:t>AVORTURI</w:t>
      </w:r>
    </w:p>
    <w:p w:rsidR="00D1097E" w:rsidRPr="00D1097E" w:rsidRDefault="00D1097E" w:rsidP="00D1097E">
      <w:pPr>
        <w:spacing w:after="0" w:line="240" w:lineRule="auto"/>
        <w:rPr>
          <w:rFonts w:ascii="Times New Roman" w:eastAsiaTheme="majorEastAsia" w:hAnsi="Times New Roman" w:cs="Times New Roman"/>
          <w:b/>
          <w:color w:val="000000"/>
          <w:lang w:val="fr-FR"/>
        </w:rPr>
      </w:pPr>
      <w:r w:rsidRPr="00D1097E">
        <w:rPr>
          <w:rFonts w:ascii="Times New Roman" w:hAnsi="Times New Roman" w:cs="Times New Roman"/>
          <w:lang w:val="ro-RO" w:eastAsia="ro-RO"/>
        </w:rPr>
        <w:t>În România, î</w:t>
      </w:r>
      <w:r w:rsidRPr="00D1097E">
        <w:rPr>
          <w:rFonts w:ascii="Times New Roman" w:eastAsia="Times New Roman" w:hAnsi="Times New Roman" w:cs="Times New Roman"/>
        </w:rPr>
        <w:t>n anul 2021 au fost efectuate 29264 întreruperi de sarcină (7 avorturi / ‰ femei 15-49 ani, dintre care 47.39% au fost la cerere) comparativ cu 103386 întreruperi de sarcină (dintre care 58.8% au fost la cerere) efectuate în anul 2011.</w:t>
      </w:r>
      <w:r w:rsidR="0099484D" w:rsidRPr="0099484D">
        <w:rPr>
          <w:rStyle w:val="FootnoteReference"/>
          <w:rFonts w:ascii="Times New Roman" w:hAnsi="Times New Roman" w:cs="Times New Roman"/>
          <w:color w:val="0000FF"/>
        </w:rPr>
        <w:footnoteReference w:id="18"/>
      </w:r>
      <w:r w:rsidR="0099484D">
        <w:rPr>
          <w:rFonts w:ascii="Times New Roman" w:eastAsia="Times New Roman" w:hAnsi="Times New Roman" w:cs="Times New Roman"/>
          <w:vertAlign w:val="superscript"/>
        </w:rPr>
        <w:t xml:space="preserve"> ,</w:t>
      </w:r>
      <w:r w:rsidR="0099484D">
        <w:rPr>
          <w:rStyle w:val="FootnoteReference"/>
          <w:rFonts w:ascii="Times New Roman" w:eastAsia="Times New Roman" w:hAnsi="Times New Roman" w:cs="Times New Roman"/>
        </w:rPr>
        <w:footnoteReference w:id="19"/>
      </w:r>
      <w:r w:rsidRPr="00D1097E">
        <w:rPr>
          <w:rFonts w:ascii="Times New Roman" w:eastAsia="Times New Roman" w:hAnsi="Times New Roman" w:cs="Times New Roman"/>
          <w:color w:val="0000FF"/>
          <w:sz w:val="20"/>
          <w:szCs w:val="20"/>
          <w:u w:val="single"/>
        </w:rPr>
        <w:t xml:space="preserve"> </w:t>
      </w:r>
    </w:p>
    <w:p w:rsidR="00A0072D" w:rsidRDefault="00CF7253" w:rsidP="00D1097E">
      <w:pPr>
        <w:spacing w:after="0" w:line="240" w:lineRule="auto"/>
        <w:rPr>
          <w:rFonts w:ascii="Times New Roman" w:hAnsi="Times New Roman" w:cs="Times New Roman"/>
        </w:rPr>
      </w:pPr>
      <w:r>
        <w:rPr>
          <w:rFonts w:ascii="Times New Roman" w:hAnsi="Times New Roman" w:cs="Times New Roman"/>
        </w:rPr>
        <w:t>Ratele a</w:t>
      </w:r>
      <w:r w:rsidR="00D1097E" w:rsidRPr="00D1097E">
        <w:rPr>
          <w:rFonts w:ascii="Times New Roman" w:hAnsi="Times New Roman" w:cs="Times New Roman"/>
        </w:rPr>
        <w:t>vorturil</w:t>
      </w:r>
      <w:r>
        <w:rPr>
          <w:rFonts w:ascii="Times New Roman" w:hAnsi="Times New Roman" w:cs="Times New Roman"/>
        </w:rPr>
        <w:t>or</w:t>
      </w:r>
      <w:r w:rsidR="00D1097E" w:rsidRPr="00D1097E">
        <w:rPr>
          <w:rFonts w:ascii="Times New Roman" w:hAnsi="Times New Roman" w:cs="Times New Roman"/>
        </w:rPr>
        <w:t xml:space="preserve"> </w:t>
      </w:r>
      <w:r w:rsidR="00BE1D76">
        <w:rPr>
          <w:rFonts w:ascii="Times New Roman" w:hAnsi="Times New Roman" w:cs="Times New Roman"/>
        </w:rPr>
        <w:t xml:space="preserve">la cerere </w:t>
      </w:r>
      <w:r w:rsidR="00D1097E" w:rsidRPr="00D1097E">
        <w:rPr>
          <w:rFonts w:ascii="Times New Roman" w:hAnsi="Times New Roman" w:cs="Times New Roman"/>
        </w:rPr>
        <w:t xml:space="preserve">au </w:t>
      </w:r>
      <w:r>
        <w:rPr>
          <w:rFonts w:ascii="Times New Roman" w:hAnsi="Times New Roman" w:cs="Times New Roman"/>
        </w:rPr>
        <w:t>înregistrat valori mai scăzute în 2021 față de 2011 (</w:t>
      </w:r>
      <w:r w:rsidR="00BE1D76">
        <w:rPr>
          <w:rFonts w:ascii="Times New Roman" w:hAnsi="Times New Roman" w:cs="Times New Roman"/>
        </w:rPr>
        <w:t>19</w:t>
      </w:r>
      <w:r w:rsidR="00A0072D">
        <w:rPr>
          <w:rFonts w:ascii="Times New Roman" w:hAnsi="Times New Roman" w:cs="Times New Roman"/>
        </w:rPr>
        <w:t xml:space="preserve">%).  . O creștere de aprox. </w:t>
      </w:r>
      <w:r w:rsidR="00BE1D76">
        <w:rPr>
          <w:rFonts w:ascii="Times New Roman" w:hAnsi="Times New Roman" w:cs="Times New Roman"/>
        </w:rPr>
        <w:t>7</w:t>
      </w:r>
      <w:r w:rsidR="00A0072D">
        <w:rPr>
          <w:rFonts w:ascii="Times New Roman" w:hAnsi="Times New Roman" w:cs="Times New Roman"/>
        </w:rPr>
        <w:t>0% se înregistrează la avorturile provoc</w:t>
      </w:r>
      <w:r w:rsidR="00BE1D76">
        <w:rPr>
          <w:rFonts w:ascii="Times New Roman" w:hAnsi="Times New Roman" w:cs="Times New Roman"/>
        </w:rPr>
        <w:t>at</w:t>
      </w:r>
      <w:r w:rsidR="00A0072D">
        <w:rPr>
          <w:rFonts w:ascii="Times New Roman" w:hAnsi="Times New Roman" w:cs="Times New Roman"/>
        </w:rPr>
        <w:t>e.</w:t>
      </w:r>
    </w:p>
    <w:p w:rsidR="00D1097E" w:rsidRPr="00D1097E" w:rsidRDefault="00D1097E" w:rsidP="00D1097E">
      <w:pPr>
        <w:spacing w:after="0" w:line="240" w:lineRule="auto"/>
        <w:rPr>
          <w:rFonts w:ascii="Times New Roman" w:hAnsi="Times New Roman" w:cs="Times New Roman"/>
          <w:b/>
          <w:lang w:val="ro-RO" w:eastAsia="ro-RO"/>
        </w:rPr>
      </w:pPr>
      <w:r w:rsidRPr="00D1097E">
        <w:rPr>
          <w:rFonts w:ascii="Times New Roman" w:hAnsi="Times New Roman" w:cs="Times New Roman"/>
          <w:b/>
          <w:lang w:val="ro-RO" w:eastAsia="ro-RO"/>
        </w:rPr>
        <w:t>Figura 1</w:t>
      </w:r>
      <w:r w:rsidR="00022FEA">
        <w:rPr>
          <w:rFonts w:ascii="Times New Roman" w:hAnsi="Times New Roman" w:cs="Times New Roman"/>
          <w:b/>
          <w:lang w:val="ro-RO" w:eastAsia="ro-RO"/>
        </w:rPr>
        <w:t>0</w:t>
      </w:r>
      <w:r w:rsidRPr="00D1097E">
        <w:rPr>
          <w:rFonts w:ascii="Times New Roman" w:hAnsi="Times New Roman" w:cs="Times New Roman"/>
          <w:b/>
          <w:lang w:val="ro-RO" w:eastAsia="ro-RO"/>
        </w:rPr>
        <w:t>. Întreruperi de sarcină</w:t>
      </w:r>
      <w:r w:rsidRPr="00D1097E">
        <w:rPr>
          <w:rFonts w:ascii="Times New Roman" w:hAnsi="Times New Roman" w:cs="Times New Roman"/>
          <w:b/>
          <w:lang w:val="fr-FR" w:eastAsia="ro-RO"/>
        </w:rPr>
        <w:t xml:space="preserve"> pe județe, România, 2021 (</w:t>
      </w:r>
      <w:r w:rsidRPr="00D1097E">
        <w:rPr>
          <w:rFonts w:ascii="Times New Roman" w:hAnsi="Times New Roman" w:cs="Times New Roman"/>
          <w:b/>
          <w:lang w:val="ro-RO" w:eastAsia="ro-RO"/>
        </w:rPr>
        <w:t xml:space="preserve"> </w:t>
      </w:r>
      <w:r w:rsidRPr="00D1097E">
        <w:rPr>
          <w:rFonts w:ascii="Times New Roman" w:hAnsi="Times New Roman" w:cs="Times New Roman"/>
          <w:b/>
          <w:lang w:val="fr-FR" w:eastAsia="ro-RO"/>
        </w:rPr>
        <w:t>‰</w:t>
      </w:r>
      <w:r w:rsidRPr="00D1097E">
        <w:rPr>
          <w:rFonts w:ascii="Times New Roman" w:hAnsi="Times New Roman" w:cs="Times New Roman"/>
          <w:b/>
          <w:lang w:val="ro-RO" w:eastAsia="ro-RO"/>
        </w:rPr>
        <w:t xml:space="preserve"> </w:t>
      </w:r>
      <w:r w:rsidRPr="00D1097E">
        <w:rPr>
          <w:rFonts w:ascii="Times New Roman" w:hAnsi="Times New Roman" w:cs="Times New Roman"/>
          <w:b/>
          <w:lang w:val="fr-FR" w:eastAsia="ro-RO"/>
        </w:rPr>
        <w:t>femei 15-49 ani)</w:t>
      </w:r>
    </w:p>
    <w:p w:rsidR="003F23F1" w:rsidRDefault="00D1097E" w:rsidP="0093465E">
      <w:pPr>
        <w:spacing w:after="0"/>
        <w:rPr>
          <w:rFonts w:ascii="Times New Roman" w:hAnsi="Times New Roman" w:cs="Times New Roman"/>
          <w:sz w:val="28"/>
          <w:szCs w:val="28"/>
        </w:rPr>
      </w:pPr>
      <w:r w:rsidRPr="00A71A1C">
        <w:rPr>
          <w:rFonts w:ascii="Times New Roman" w:hAnsi="Times New Roman" w:cs="Times New Roman"/>
          <w:b/>
          <w:noProof/>
          <w:color w:val="FF0000"/>
          <w:u w:val="single"/>
        </w:rPr>
        <w:drawing>
          <wp:inline distT="0" distB="0" distL="0" distR="0" wp14:anchorId="271A60FF" wp14:editId="3A07CE3C">
            <wp:extent cx="5943600" cy="1543792"/>
            <wp:effectExtent l="0" t="0" r="1905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1097E" w:rsidRPr="00D1097E" w:rsidRDefault="00D1097E" w:rsidP="00D1097E">
      <w:pPr>
        <w:spacing w:after="0" w:line="240" w:lineRule="auto"/>
        <w:rPr>
          <w:rFonts w:ascii="Times New Roman" w:eastAsia="Times New Roman" w:hAnsi="Times New Roman" w:cs="Times New Roman"/>
          <w:b/>
        </w:rPr>
      </w:pPr>
      <w:r w:rsidRPr="00D1097E">
        <w:rPr>
          <w:rFonts w:ascii="Times New Roman" w:eastAsia="Times New Roman" w:hAnsi="Times New Roman" w:cs="Times New Roman"/>
          <w:b/>
          <w:sz w:val="20"/>
          <w:szCs w:val="20"/>
        </w:rPr>
        <w:t>Sursa: INSP-CNSISP</w:t>
      </w:r>
      <w:r w:rsidRPr="00D1097E">
        <w:rPr>
          <w:rFonts w:ascii="Times New Roman" w:eastAsia="Times New Roman" w:hAnsi="Times New Roman" w:cs="Times New Roman"/>
          <w:b/>
        </w:rPr>
        <w:t xml:space="preserve"> </w:t>
      </w:r>
    </w:p>
    <w:p w:rsidR="00D1097E" w:rsidRPr="000A0AE6" w:rsidRDefault="00D1097E" w:rsidP="00D1097E">
      <w:pPr>
        <w:spacing w:after="0" w:line="240" w:lineRule="auto"/>
        <w:rPr>
          <w:rFonts w:ascii="Times New Roman" w:hAnsi="Times New Roman" w:cs="Times New Roman"/>
          <w:lang w:val="ro-RO"/>
        </w:rPr>
      </w:pPr>
      <w:r w:rsidRPr="00D1097E">
        <w:rPr>
          <w:rFonts w:ascii="Times New Roman" w:eastAsia="Times New Roman" w:hAnsi="Times New Roman" w:cs="Times New Roman"/>
          <w:lang w:val="fr-FR"/>
        </w:rPr>
        <w:t>În 2021, cele mai multe avorturi au fost efectuate în Covasna, Teleorman și Bacău</w:t>
      </w:r>
      <w:r w:rsidR="0074640B">
        <w:rPr>
          <w:rFonts w:ascii="Times New Roman" w:eastAsia="Times New Roman" w:hAnsi="Times New Roman" w:cs="Times New Roman"/>
          <w:b/>
          <w:lang w:val="fr-FR"/>
        </w:rPr>
        <w:t xml:space="preserve">, </w:t>
      </w:r>
      <w:r w:rsidR="0074640B" w:rsidRPr="000A0AE6">
        <w:rPr>
          <w:rFonts w:ascii="Times New Roman" w:eastAsia="Times New Roman" w:hAnsi="Times New Roman" w:cs="Times New Roman"/>
          <w:lang w:val="fr-FR"/>
        </w:rPr>
        <w:t>iar cele mai puține, în Olt, Giurgiu,Timiș, Prahova.</w:t>
      </w:r>
    </w:p>
    <w:p w:rsidR="00D1097E" w:rsidRPr="00D1097E" w:rsidRDefault="00D1097E" w:rsidP="00D1097E">
      <w:pPr>
        <w:spacing w:after="0" w:line="240" w:lineRule="auto"/>
        <w:rPr>
          <w:rFonts w:ascii="Times New Roman" w:eastAsia="Times New Roman" w:hAnsi="Times New Roman" w:cs="Times New Roman"/>
          <w:b/>
          <w:lang w:val="fr-FR"/>
        </w:rPr>
      </w:pPr>
      <w:r w:rsidRPr="00D1097E">
        <w:rPr>
          <w:rFonts w:ascii="Times New Roman" w:eastAsia="Times New Roman" w:hAnsi="Times New Roman" w:cs="Times New Roman"/>
          <w:b/>
          <w:lang w:val="fr-FR"/>
        </w:rPr>
        <w:t>Figura 1</w:t>
      </w:r>
      <w:r w:rsidR="00022FEA">
        <w:rPr>
          <w:rFonts w:ascii="Times New Roman" w:eastAsia="Times New Roman" w:hAnsi="Times New Roman" w:cs="Times New Roman"/>
          <w:b/>
          <w:lang w:val="fr-FR"/>
        </w:rPr>
        <w:t>1</w:t>
      </w:r>
      <w:r w:rsidRPr="00D1097E">
        <w:rPr>
          <w:rFonts w:ascii="Times New Roman" w:eastAsia="Times New Roman" w:hAnsi="Times New Roman" w:cs="Times New Roman"/>
          <w:b/>
          <w:lang w:val="fr-FR"/>
        </w:rPr>
        <w:t>. Întreruperi de sarcină, pe grupe de vârstă ale mamei, România, 2021</w:t>
      </w:r>
      <w:r w:rsidR="0074640B" w:rsidRPr="00D1097E">
        <w:rPr>
          <w:rFonts w:ascii="Times New Roman" w:eastAsia="Times New Roman" w:hAnsi="Times New Roman" w:cs="Times New Roman"/>
          <w:b/>
          <w:lang w:val="fr-FR"/>
        </w:rPr>
        <w:t>(‰ femei de vârstă fertilă</w:t>
      </w:r>
      <w:r w:rsidR="0074640B">
        <w:rPr>
          <w:rFonts w:ascii="Times New Roman" w:eastAsia="Times New Roman" w:hAnsi="Times New Roman" w:cs="Times New Roman"/>
          <w:b/>
          <w:lang w:val="fr-FR"/>
        </w:rPr>
        <w:t>)</w:t>
      </w:r>
    </w:p>
    <w:p w:rsidR="003F23F1" w:rsidRDefault="00D1097E" w:rsidP="0093465E">
      <w:pPr>
        <w:spacing w:after="0"/>
        <w:rPr>
          <w:rFonts w:ascii="Times New Roman" w:hAnsi="Times New Roman" w:cs="Times New Roman"/>
          <w:sz w:val="28"/>
          <w:szCs w:val="28"/>
        </w:rPr>
      </w:pPr>
      <w:r w:rsidRPr="0074640B">
        <w:rPr>
          <w:noProof/>
          <w:color w:val="FF0000"/>
        </w:rPr>
        <w:drawing>
          <wp:inline distT="0" distB="0" distL="0" distR="0" wp14:anchorId="7F2D3A8E" wp14:editId="052C68A1">
            <wp:extent cx="5391150" cy="12382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1097E" w:rsidRPr="0099484D" w:rsidRDefault="00D1097E" w:rsidP="00D1097E">
      <w:pPr>
        <w:spacing w:after="0" w:line="240" w:lineRule="auto"/>
        <w:rPr>
          <w:rFonts w:ascii="Times New Roman" w:hAnsi="Times New Roman" w:cs="Times New Roman"/>
          <w:color w:val="0000FF"/>
          <w:sz w:val="20"/>
          <w:szCs w:val="20"/>
          <w:u w:val="single"/>
          <w:vertAlign w:val="superscript"/>
          <w:lang w:val="ro-RO" w:eastAsia="ro-RO"/>
        </w:rPr>
      </w:pPr>
      <w:r w:rsidRPr="00D1097E">
        <w:rPr>
          <w:rFonts w:ascii="Times New Roman" w:hAnsi="Times New Roman" w:cs="Times New Roman"/>
          <w:sz w:val="20"/>
          <w:szCs w:val="20"/>
          <w:lang w:val="fr-FR"/>
        </w:rPr>
        <w:t xml:space="preserve">Sursa: </w:t>
      </w:r>
      <w:hyperlink r:id="rId32" w:anchor="/pages/tables/insse-table" w:history="1">
        <w:r w:rsidRPr="00D1097E">
          <w:rPr>
            <w:rFonts w:ascii="Times New Roman" w:hAnsi="Times New Roman" w:cs="Times New Roman"/>
            <w:color w:val="0000FF"/>
            <w:sz w:val="20"/>
            <w:szCs w:val="20"/>
            <w:u w:val="single"/>
            <w:lang w:val="ro-RO" w:eastAsia="ro-RO"/>
          </w:rPr>
          <w:t>http://statistici.insse.ro:8077/tempo-online/#/pages/tables/insse-table</w:t>
        </w:r>
      </w:hyperlink>
      <w:r w:rsidR="0099484D">
        <w:rPr>
          <w:rFonts w:ascii="Times New Roman" w:hAnsi="Times New Roman" w:cs="Times New Roman"/>
          <w:color w:val="0000FF"/>
          <w:sz w:val="20"/>
          <w:szCs w:val="20"/>
          <w:u w:val="single"/>
          <w:vertAlign w:val="superscript"/>
          <w:lang w:val="ro-RO" w:eastAsia="ro-RO"/>
        </w:rPr>
        <w:t>17</w:t>
      </w:r>
    </w:p>
    <w:p w:rsidR="0074640B" w:rsidRPr="0074640B" w:rsidRDefault="0074640B" w:rsidP="00D1097E">
      <w:pPr>
        <w:spacing w:after="0" w:line="240" w:lineRule="auto"/>
        <w:rPr>
          <w:rFonts w:ascii="Times New Roman" w:hAnsi="Times New Roman" w:cs="Times New Roman"/>
          <w:lang w:val="ro-RO" w:eastAsia="ro-RO"/>
        </w:rPr>
      </w:pPr>
      <w:r w:rsidRPr="0074640B">
        <w:rPr>
          <w:rFonts w:ascii="Times New Roman" w:hAnsi="Times New Roman" w:cs="Times New Roman"/>
          <w:lang w:val="ro-RO" w:eastAsia="ro-RO"/>
        </w:rPr>
        <w:t>Cele m</w:t>
      </w:r>
      <w:r>
        <w:rPr>
          <w:rFonts w:ascii="Times New Roman" w:hAnsi="Times New Roman" w:cs="Times New Roman"/>
          <w:lang w:val="ro-RO" w:eastAsia="ro-RO"/>
        </w:rPr>
        <w:t>a</w:t>
      </w:r>
      <w:r w:rsidRPr="0074640B">
        <w:rPr>
          <w:rFonts w:ascii="Times New Roman" w:hAnsi="Times New Roman" w:cs="Times New Roman"/>
          <w:lang w:val="ro-RO" w:eastAsia="ro-RO"/>
        </w:rPr>
        <w:t>i multe avorturi au fost înregistrate la grupa de vârstă 25-29 ani.</w:t>
      </w:r>
    </w:p>
    <w:p w:rsidR="0074640B" w:rsidRPr="0074640B" w:rsidRDefault="0074640B" w:rsidP="00D1097E">
      <w:pPr>
        <w:spacing w:after="0" w:line="240" w:lineRule="auto"/>
        <w:rPr>
          <w:rFonts w:ascii="Times New Roman" w:hAnsi="Times New Roman" w:cs="Times New Roman"/>
          <w:lang w:val="ro-RO" w:eastAsia="ro-RO"/>
        </w:rPr>
      </w:pPr>
    </w:p>
    <w:p w:rsidR="00D1097E" w:rsidRPr="00D1097E" w:rsidRDefault="00D1097E" w:rsidP="00D1097E">
      <w:pPr>
        <w:spacing w:after="0" w:line="240" w:lineRule="auto"/>
        <w:rPr>
          <w:rFonts w:ascii="Times New Roman" w:hAnsi="Times New Roman" w:cs="Times New Roman"/>
          <w:b/>
          <w:lang w:val="ro-RO" w:eastAsia="ro-RO"/>
        </w:rPr>
      </w:pPr>
      <w:r w:rsidRPr="00D1097E">
        <w:rPr>
          <w:rFonts w:ascii="Times New Roman" w:hAnsi="Times New Roman" w:cs="Times New Roman"/>
          <w:b/>
          <w:lang w:val="ro-RO" w:eastAsia="ro-RO"/>
        </w:rPr>
        <w:t>Figura 1</w:t>
      </w:r>
      <w:r w:rsidR="00022FEA">
        <w:rPr>
          <w:rFonts w:ascii="Times New Roman" w:hAnsi="Times New Roman" w:cs="Times New Roman"/>
          <w:b/>
          <w:lang w:val="ro-RO" w:eastAsia="ro-RO"/>
        </w:rPr>
        <w:t>2</w:t>
      </w:r>
      <w:r w:rsidRPr="00D1097E">
        <w:rPr>
          <w:rFonts w:ascii="Times New Roman" w:hAnsi="Times New Roman" w:cs="Times New Roman"/>
          <w:b/>
          <w:lang w:val="ro-RO" w:eastAsia="ro-RO"/>
        </w:rPr>
        <w:t>. Avorturi la adolescente 15-19 ani, România, 2012- 2021 (‰ femei)</w:t>
      </w:r>
    </w:p>
    <w:p w:rsidR="003F23F1" w:rsidRDefault="00D1097E" w:rsidP="0093465E">
      <w:pPr>
        <w:spacing w:after="0"/>
        <w:rPr>
          <w:rFonts w:ascii="Times New Roman" w:hAnsi="Times New Roman" w:cs="Times New Roman"/>
          <w:sz w:val="28"/>
          <w:szCs w:val="28"/>
        </w:rPr>
      </w:pPr>
      <w:r w:rsidRPr="00A71A1C">
        <w:rPr>
          <w:rFonts w:ascii="Times New Roman" w:hAnsi="Times New Roman" w:cs="Times New Roman"/>
          <w:b/>
          <w:noProof/>
          <w:color w:val="FF0000"/>
        </w:rPr>
        <w:drawing>
          <wp:inline distT="0" distB="0" distL="0" distR="0" wp14:anchorId="21133406" wp14:editId="78BF7B8E">
            <wp:extent cx="5486400" cy="1352550"/>
            <wp:effectExtent l="0" t="0" r="19050" b="1905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596F" w:rsidRPr="0099484D" w:rsidRDefault="0099484D" w:rsidP="00C7596F">
      <w:pPr>
        <w:spacing w:after="0" w:line="240" w:lineRule="auto"/>
        <w:rPr>
          <w:rFonts w:ascii="Times New Roman" w:hAnsi="Times New Roman" w:cs="Times New Roman"/>
          <w:sz w:val="20"/>
          <w:szCs w:val="20"/>
          <w:vertAlign w:val="superscript"/>
          <w:lang w:val="ro-RO" w:eastAsia="ro-RO"/>
        </w:rPr>
      </w:pPr>
      <w:r w:rsidRPr="00D1097E">
        <w:rPr>
          <w:rFonts w:ascii="Times New Roman" w:hAnsi="Times New Roman" w:cs="Times New Roman"/>
          <w:sz w:val="20"/>
          <w:szCs w:val="20"/>
          <w:lang w:val="fr-FR"/>
        </w:rPr>
        <w:t>Sursa:</w:t>
      </w:r>
      <w:hyperlink r:id="rId34" w:anchor="/pages/tables/insse-table" w:history="1">
        <w:r w:rsidR="00C7596F" w:rsidRPr="00C32D85">
          <w:rPr>
            <w:rStyle w:val="Hyperlink"/>
            <w:rFonts w:ascii="Times New Roman" w:hAnsi="Times New Roman" w:cs="Times New Roman"/>
            <w:sz w:val="20"/>
            <w:szCs w:val="20"/>
            <w:lang w:val="ro-RO" w:eastAsia="ro-RO"/>
          </w:rPr>
          <w:t>http://statistici.insse.ro:8077/tempo-online/#/pages/tables/insse-table</w:t>
        </w:r>
      </w:hyperlink>
      <w:r>
        <w:rPr>
          <w:rStyle w:val="Hyperlink"/>
          <w:rFonts w:ascii="Times New Roman" w:hAnsi="Times New Roman" w:cs="Times New Roman"/>
          <w:sz w:val="20"/>
          <w:szCs w:val="20"/>
          <w:vertAlign w:val="superscript"/>
          <w:lang w:val="ro-RO" w:eastAsia="ro-RO"/>
        </w:rPr>
        <w:t>17</w:t>
      </w:r>
    </w:p>
    <w:p w:rsidR="00D1097E" w:rsidRPr="00D1097E" w:rsidRDefault="00D1097E" w:rsidP="00D1097E">
      <w:pPr>
        <w:spacing w:after="0" w:line="240" w:lineRule="auto"/>
        <w:rPr>
          <w:rFonts w:ascii="Times New Roman" w:hAnsi="Times New Roman" w:cs="Times New Roman"/>
          <w:b/>
          <w:lang w:val="ro-RO"/>
        </w:rPr>
      </w:pPr>
      <w:r w:rsidRPr="00D1097E">
        <w:rPr>
          <w:rFonts w:ascii="Times New Roman" w:hAnsi="Times New Roman" w:cs="Times New Roman"/>
        </w:rPr>
        <w:t xml:space="preserve">În 2021, </w:t>
      </w:r>
      <w:r w:rsidRPr="00D1097E">
        <w:rPr>
          <w:rFonts w:ascii="Times New Roman" w:hAnsi="Times New Roman" w:cs="Times New Roman"/>
          <w:lang w:val="ro-RO" w:eastAsia="ro-RO"/>
        </w:rPr>
        <w:t>avorturile la fete cu vârste între 15-19 ani, au scăzut  cu 65% comparativ cu anul 2012</w:t>
      </w:r>
      <w:r w:rsidR="007C6AD4">
        <w:rPr>
          <w:rFonts w:ascii="Times New Roman" w:hAnsi="Times New Roman" w:cs="Times New Roman"/>
          <w:lang w:val="ro-RO" w:eastAsia="ro-RO"/>
        </w:rPr>
        <w:t>.</w:t>
      </w:r>
      <w:r w:rsidRPr="00D1097E">
        <w:rPr>
          <w:rFonts w:ascii="Times New Roman" w:hAnsi="Times New Roman" w:cs="Times New Roman"/>
          <w:lang w:val="ro-RO" w:eastAsia="ro-RO"/>
        </w:rPr>
        <w:t xml:space="preserve"> </w:t>
      </w:r>
    </w:p>
    <w:p w:rsidR="0099484D" w:rsidRDefault="007C6AD4" w:rsidP="0093465E">
      <w:pPr>
        <w:spacing w:after="0"/>
        <w:rPr>
          <w:rFonts w:ascii="Times New Roman" w:hAnsi="Times New Roman" w:cs="Times New Roman"/>
        </w:rPr>
      </w:pPr>
      <w:r w:rsidRPr="007C6AD4">
        <w:rPr>
          <w:rFonts w:ascii="Times New Roman" w:hAnsi="Times New Roman" w:cs="Times New Roman"/>
        </w:rPr>
        <w:lastRenderedPageBreak/>
        <w:t>În anul 2012, avorturile înregistrate la fete cu vâ</w:t>
      </w:r>
      <w:r w:rsidR="00C06B43">
        <w:rPr>
          <w:rFonts w:ascii="Times New Roman" w:hAnsi="Times New Roman" w:cs="Times New Roman"/>
        </w:rPr>
        <w:t>rste între 15-19 ani reprezenta</w:t>
      </w:r>
      <w:r w:rsidRPr="007C6AD4">
        <w:rPr>
          <w:rFonts w:ascii="Times New Roman" w:hAnsi="Times New Roman" w:cs="Times New Roman"/>
        </w:rPr>
        <w:t>u</w:t>
      </w:r>
      <w:r>
        <w:rPr>
          <w:rFonts w:ascii="Times New Roman" w:hAnsi="Times New Roman" w:cs="Times New Roman"/>
        </w:rPr>
        <w:t xml:space="preserve"> 8</w:t>
      </w:r>
      <w:r w:rsidR="00C06B43">
        <w:rPr>
          <w:rFonts w:ascii="Times New Roman" w:hAnsi="Times New Roman" w:cs="Times New Roman"/>
        </w:rPr>
        <w:t>.6</w:t>
      </w:r>
      <w:r>
        <w:rPr>
          <w:rFonts w:ascii="Times New Roman" w:hAnsi="Times New Roman" w:cs="Times New Roman"/>
        </w:rPr>
        <w:t>% din to</w:t>
      </w:r>
      <w:r w:rsidR="0062421D">
        <w:rPr>
          <w:rFonts w:ascii="Times New Roman" w:hAnsi="Times New Roman" w:cs="Times New Roman"/>
        </w:rPr>
        <w:t>talul avorturilor î</w:t>
      </w:r>
      <w:r>
        <w:rPr>
          <w:rFonts w:ascii="Times New Roman" w:hAnsi="Times New Roman" w:cs="Times New Roman"/>
        </w:rPr>
        <w:t>nregistrate în același an, iar în 2021, 8</w:t>
      </w:r>
      <w:r w:rsidR="00C06B43">
        <w:rPr>
          <w:rFonts w:ascii="Times New Roman" w:hAnsi="Times New Roman" w:cs="Times New Roman"/>
        </w:rPr>
        <w:t>.7</w:t>
      </w:r>
      <w:r>
        <w:rPr>
          <w:rFonts w:ascii="Times New Roman" w:hAnsi="Times New Roman" w:cs="Times New Roman"/>
        </w:rPr>
        <w:t xml:space="preserve">%.  </w:t>
      </w:r>
    </w:p>
    <w:p w:rsidR="0099484D" w:rsidRDefault="0099484D" w:rsidP="0093465E">
      <w:pPr>
        <w:spacing w:after="0"/>
        <w:rPr>
          <w:rFonts w:ascii="Times New Roman" w:hAnsi="Times New Roman" w:cs="Times New Roman"/>
          <w:b/>
        </w:rPr>
      </w:pPr>
    </w:p>
    <w:p w:rsidR="008643E2" w:rsidRDefault="008643E2" w:rsidP="0093465E">
      <w:pPr>
        <w:spacing w:after="0"/>
        <w:rPr>
          <w:rFonts w:ascii="Times New Roman" w:hAnsi="Times New Roman" w:cs="Times New Roman"/>
          <w:b/>
        </w:rPr>
      </w:pPr>
      <w:r>
        <w:rPr>
          <w:rFonts w:ascii="Times New Roman" w:hAnsi="Times New Roman" w:cs="Times New Roman"/>
          <w:b/>
        </w:rPr>
        <w:t>Mortalitatea maternă</w:t>
      </w:r>
    </w:p>
    <w:p w:rsidR="003D037F" w:rsidRPr="003D037F" w:rsidRDefault="003D037F" w:rsidP="003D037F">
      <w:pPr>
        <w:spacing w:after="0"/>
        <w:rPr>
          <w:rFonts w:ascii="Times New Roman" w:hAnsi="Times New Roman" w:cs="Times New Roman"/>
        </w:rPr>
      </w:pPr>
      <w:r>
        <w:rPr>
          <w:rFonts w:ascii="Times New Roman" w:hAnsi="Times New Roman" w:cs="Times New Roman"/>
          <w:lang w:val="fr-FR"/>
        </w:rPr>
        <w:t xml:space="preserve"> Mortalitatea maternă prin complicații ale travaliului și nașterii a înregistrat o scădere în aceeași perioadă, de aprox. 39%. Mortalitatea maternă prin risc obstetrical indirect a înregistrat o creștere de 81%, de la 10,7 la 19,4 </w:t>
      </w:r>
      <w:r w:rsidRPr="002306FB">
        <w:rPr>
          <w:rFonts w:ascii="Times New Roman" w:hAnsi="Times New Roman" w:cs="Times New Roman"/>
          <w:b/>
        </w:rPr>
        <w:t>(‰oo născuți vii</w:t>
      </w:r>
      <w:r>
        <w:rPr>
          <w:rFonts w:ascii="Times New Roman" w:hAnsi="Times New Roman" w:cs="Times New Roman"/>
          <w:b/>
        </w:rPr>
        <w:t xml:space="preserve">). </w:t>
      </w:r>
      <w:r w:rsidR="004603E4">
        <w:rPr>
          <w:rFonts w:ascii="Times New Roman" w:hAnsi="Times New Roman" w:cs="Times New Roman"/>
          <w:b/>
        </w:rPr>
        <w:t xml:space="preserve"> </w:t>
      </w:r>
      <w:r w:rsidRPr="003D037F">
        <w:rPr>
          <w:rFonts w:ascii="Times New Roman" w:hAnsi="Times New Roman" w:cs="Times New Roman"/>
        </w:rPr>
        <w:t>Mortalitatea maternă cauzată de avort a avut valori reduse în 2021 față de 2011, cu aprox.65%.</w:t>
      </w:r>
    </w:p>
    <w:p w:rsidR="002306FB" w:rsidRPr="002306FB" w:rsidRDefault="002306FB" w:rsidP="002306FB">
      <w:pPr>
        <w:tabs>
          <w:tab w:val="left" w:pos="0"/>
        </w:tabs>
        <w:spacing w:after="0"/>
        <w:jc w:val="both"/>
        <w:rPr>
          <w:rFonts w:ascii="Times New Roman" w:hAnsi="Times New Roman" w:cs="Times New Roman"/>
          <w:b/>
          <w:lang w:val="fr-FR"/>
        </w:rPr>
      </w:pPr>
      <w:r w:rsidRPr="002306FB">
        <w:rPr>
          <w:rFonts w:ascii="Times New Roman" w:hAnsi="Times New Roman" w:cs="Times New Roman"/>
          <w:b/>
          <w:lang w:val="fr-FR"/>
        </w:rPr>
        <w:t>Fig.</w:t>
      </w:r>
      <w:r w:rsidR="00502564">
        <w:rPr>
          <w:rFonts w:ascii="Times New Roman" w:hAnsi="Times New Roman" w:cs="Times New Roman"/>
          <w:b/>
          <w:lang w:val="fr-FR"/>
        </w:rPr>
        <w:t>1</w:t>
      </w:r>
      <w:r w:rsidR="00022FEA">
        <w:rPr>
          <w:rFonts w:ascii="Times New Roman" w:hAnsi="Times New Roman" w:cs="Times New Roman"/>
          <w:b/>
          <w:lang w:val="fr-FR"/>
        </w:rPr>
        <w:t>3</w:t>
      </w:r>
      <w:r w:rsidRPr="002306FB">
        <w:rPr>
          <w:rFonts w:ascii="Times New Roman" w:hAnsi="Times New Roman" w:cs="Times New Roman"/>
          <w:b/>
          <w:lang w:val="fr-FR"/>
        </w:rPr>
        <w:t>. Mortalitatea maternă pe categorii de risc, România, 2011-2020 (‰oo născuți vii)</w:t>
      </w:r>
    </w:p>
    <w:p w:rsidR="002306FB" w:rsidRDefault="002306FB" w:rsidP="0093465E">
      <w:pPr>
        <w:spacing w:after="0"/>
        <w:rPr>
          <w:rFonts w:ascii="Times New Roman" w:hAnsi="Times New Roman" w:cs="Times New Roman"/>
          <w:sz w:val="28"/>
          <w:szCs w:val="28"/>
        </w:rPr>
      </w:pPr>
      <w:r w:rsidRPr="00A71A1C">
        <w:rPr>
          <w:rFonts w:ascii="Times New Roman" w:hAnsi="Times New Roman" w:cs="Times New Roman"/>
          <w:noProof/>
        </w:rPr>
        <w:drawing>
          <wp:inline distT="0" distB="0" distL="0" distR="0" wp14:anchorId="007078E8" wp14:editId="75DB0411">
            <wp:extent cx="5943600" cy="1560308"/>
            <wp:effectExtent l="0" t="0" r="19050" b="209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3C3A" w:rsidRPr="0099484D" w:rsidRDefault="0099484D" w:rsidP="0093465E">
      <w:pPr>
        <w:spacing w:after="0"/>
        <w:rPr>
          <w:rFonts w:ascii="Times New Roman" w:hAnsi="Times New Roman" w:cs="Times New Roman"/>
          <w:sz w:val="20"/>
          <w:szCs w:val="20"/>
        </w:rPr>
      </w:pPr>
      <w:r w:rsidRPr="0099484D">
        <w:rPr>
          <w:rFonts w:ascii="Times New Roman" w:hAnsi="Times New Roman" w:cs="Times New Roman"/>
          <w:sz w:val="20"/>
          <w:szCs w:val="20"/>
        </w:rPr>
        <w:t xml:space="preserve">Sursa: </w:t>
      </w:r>
      <w:hyperlink r:id="rId36" w:history="1">
        <w:r w:rsidRPr="0099484D">
          <w:rPr>
            <w:rStyle w:val="Hyperlink"/>
            <w:rFonts w:ascii="Times New Roman" w:hAnsi="Times New Roman" w:cs="Times New Roman"/>
            <w:sz w:val="20"/>
            <w:szCs w:val="20"/>
          </w:rPr>
          <w:t>https://insp.gov.ro/download/cnsisp/Fisiere-de-pe-site-CNSISP/mortalitatea_materna/Mortalitatea-materna-in-Romania-2021.pdf</w:t>
        </w:r>
      </w:hyperlink>
      <w:r>
        <w:rPr>
          <w:rStyle w:val="FootnoteReference"/>
          <w:rFonts w:ascii="Times New Roman" w:hAnsi="Times New Roman" w:cs="Times New Roman"/>
          <w:sz w:val="20"/>
          <w:szCs w:val="20"/>
        </w:rPr>
        <w:footnoteReference w:id="20"/>
      </w:r>
    </w:p>
    <w:p w:rsidR="002306FB" w:rsidRPr="002306FB" w:rsidRDefault="002306FB" w:rsidP="002306FB">
      <w:pPr>
        <w:spacing w:after="0"/>
        <w:rPr>
          <w:rFonts w:ascii="Times New Roman" w:hAnsi="Times New Roman" w:cs="Times New Roman"/>
          <w:lang w:val="fr-FR"/>
        </w:rPr>
      </w:pPr>
      <w:r w:rsidRPr="002306FB">
        <w:rPr>
          <w:rFonts w:ascii="Times New Roman" w:hAnsi="Times New Roman" w:cs="Times New Roman"/>
          <w:lang w:val="fr-FR"/>
        </w:rPr>
        <w:t xml:space="preserve">În 2021, mortalitatea maternă a avut valorile cele mai mari în județele Mehedinți (104.7‰oo) și Maramureș (94‰oo), iar cea mai mică valoare a avut-o județul Iași (1‰oo). </w:t>
      </w:r>
    </w:p>
    <w:p w:rsidR="002306FB" w:rsidRPr="002306FB" w:rsidRDefault="002306FB" w:rsidP="002306FB">
      <w:pPr>
        <w:spacing w:after="0" w:line="240" w:lineRule="auto"/>
        <w:rPr>
          <w:rFonts w:ascii="Times New Roman" w:hAnsi="Times New Roman" w:cs="Times New Roman"/>
          <w:b/>
          <w:lang w:val="ro-RO" w:eastAsia="ro-RO"/>
        </w:rPr>
      </w:pPr>
      <w:r w:rsidRPr="002306FB">
        <w:rPr>
          <w:rFonts w:ascii="Times New Roman" w:hAnsi="Times New Roman" w:cs="Times New Roman"/>
          <w:b/>
          <w:lang w:val="ro-RO" w:eastAsia="ro-RO"/>
        </w:rPr>
        <w:t xml:space="preserve">Figura </w:t>
      </w:r>
      <w:r w:rsidR="00C90A29">
        <w:rPr>
          <w:rFonts w:ascii="Times New Roman" w:hAnsi="Times New Roman" w:cs="Times New Roman"/>
          <w:b/>
          <w:lang w:val="ro-RO" w:eastAsia="ro-RO"/>
        </w:rPr>
        <w:t>1</w:t>
      </w:r>
      <w:r w:rsidR="00022FEA">
        <w:rPr>
          <w:rFonts w:ascii="Times New Roman" w:hAnsi="Times New Roman" w:cs="Times New Roman"/>
          <w:b/>
          <w:lang w:val="ro-RO" w:eastAsia="ro-RO"/>
        </w:rPr>
        <w:t>4</w:t>
      </w:r>
      <w:r w:rsidRPr="002306FB">
        <w:rPr>
          <w:rFonts w:ascii="Times New Roman" w:hAnsi="Times New Roman" w:cs="Times New Roman"/>
          <w:b/>
          <w:lang w:val="ro-RO" w:eastAsia="ro-RO"/>
        </w:rPr>
        <w:t>. Mortalitatea maternă</w:t>
      </w:r>
      <w:r w:rsidRPr="002306FB">
        <w:rPr>
          <w:rFonts w:ascii="Times New Roman" w:hAnsi="Times New Roman" w:cs="Times New Roman"/>
          <w:b/>
          <w:lang w:val="fr-FR" w:eastAsia="ro-RO"/>
        </w:rPr>
        <w:t xml:space="preserve"> pe județe, România, 2021 (</w:t>
      </w:r>
      <w:r w:rsidRPr="002306FB">
        <w:rPr>
          <w:rFonts w:ascii="Times New Roman" w:hAnsi="Times New Roman" w:cs="Times New Roman"/>
          <w:b/>
          <w:lang w:val="fr-FR"/>
        </w:rPr>
        <w:t>‰oo născuți vii</w:t>
      </w:r>
      <w:r w:rsidRPr="002306FB">
        <w:rPr>
          <w:rFonts w:ascii="Times New Roman" w:hAnsi="Times New Roman" w:cs="Times New Roman"/>
          <w:b/>
          <w:lang w:val="fr-FR" w:eastAsia="ro-RO"/>
        </w:rPr>
        <w:t>)</w:t>
      </w:r>
    </w:p>
    <w:p w:rsidR="002306FB" w:rsidRDefault="002306FB" w:rsidP="0093465E">
      <w:pPr>
        <w:spacing w:after="0"/>
        <w:rPr>
          <w:rFonts w:ascii="Times New Roman" w:hAnsi="Times New Roman" w:cs="Times New Roman"/>
          <w:sz w:val="28"/>
          <w:szCs w:val="28"/>
        </w:rPr>
      </w:pPr>
      <w:r w:rsidRPr="00A71A1C">
        <w:rPr>
          <w:rFonts w:ascii="Times New Roman" w:hAnsi="Times New Roman" w:cs="Times New Roman"/>
          <w:b/>
          <w:noProof/>
          <w:color w:val="FF0000"/>
          <w:u w:val="single"/>
        </w:rPr>
        <w:drawing>
          <wp:inline distT="0" distB="0" distL="0" distR="0" wp14:anchorId="3F722DD0" wp14:editId="1A545770">
            <wp:extent cx="5943600" cy="1712112"/>
            <wp:effectExtent l="0" t="0" r="19050" b="2159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484D" w:rsidRPr="0099484D" w:rsidRDefault="0099484D" w:rsidP="002306FB">
      <w:pPr>
        <w:spacing w:after="0"/>
        <w:rPr>
          <w:rFonts w:ascii="Times New Roman" w:hAnsi="Times New Roman" w:cs="Times New Roman"/>
          <w:sz w:val="20"/>
          <w:szCs w:val="20"/>
          <w:vertAlign w:val="superscript"/>
        </w:rPr>
      </w:pPr>
      <w:r w:rsidRPr="0099484D">
        <w:rPr>
          <w:rFonts w:ascii="Times New Roman" w:hAnsi="Times New Roman" w:cs="Times New Roman"/>
          <w:sz w:val="20"/>
          <w:szCs w:val="20"/>
        </w:rPr>
        <w:t xml:space="preserve">Sursa: </w:t>
      </w:r>
      <w:hyperlink r:id="rId38" w:history="1">
        <w:r w:rsidRPr="0099484D">
          <w:rPr>
            <w:rStyle w:val="Hyperlink"/>
            <w:rFonts w:ascii="Times New Roman" w:hAnsi="Times New Roman" w:cs="Times New Roman"/>
            <w:sz w:val="20"/>
            <w:szCs w:val="20"/>
          </w:rPr>
          <w:t>https://insp.gov.ro/download/cnsisp/Fisiere-de-pe-site-CNSISP/mortalitatea_materna/Mortalitatea-materna-in-Romania-2021.pdf</w:t>
        </w:r>
      </w:hyperlink>
      <w:r>
        <w:rPr>
          <w:rFonts w:ascii="Times New Roman" w:hAnsi="Times New Roman" w:cs="Times New Roman"/>
          <w:sz w:val="20"/>
          <w:szCs w:val="20"/>
          <w:vertAlign w:val="superscript"/>
        </w:rPr>
        <w:t>20</w:t>
      </w:r>
    </w:p>
    <w:p w:rsidR="002306FB" w:rsidRDefault="00C90A29" w:rsidP="002306FB">
      <w:pPr>
        <w:spacing w:after="0"/>
        <w:rPr>
          <w:rFonts w:ascii="Times New Roman" w:hAnsi="Times New Roman" w:cs="Times New Roman"/>
          <w:lang w:val="fr-FR"/>
        </w:rPr>
      </w:pPr>
      <w:r>
        <w:rPr>
          <w:rFonts w:ascii="Times New Roman" w:hAnsi="Times New Roman" w:cs="Times New Roman"/>
          <w:lang w:val="fr-FR"/>
        </w:rPr>
        <w:t>În perioada 2011-2021 m</w:t>
      </w:r>
      <w:r w:rsidR="002306FB" w:rsidRPr="002306FB">
        <w:rPr>
          <w:rFonts w:ascii="Times New Roman" w:hAnsi="Times New Roman" w:cs="Times New Roman"/>
          <w:lang w:val="fr-FR"/>
        </w:rPr>
        <w:t xml:space="preserve">ortalitatea maternă prin risc obstetrical direct a înregistrat scăderi </w:t>
      </w:r>
      <w:r>
        <w:rPr>
          <w:rFonts w:ascii="Times New Roman" w:hAnsi="Times New Roman" w:cs="Times New Roman"/>
          <w:lang w:val="fr-FR"/>
        </w:rPr>
        <w:t xml:space="preserve">marcante </w:t>
      </w:r>
      <w:r w:rsidR="002306FB" w:rsidRPr="002306FB">
        <w:rPr>
          <w:rFonts w:ascii="Times New Roman" w:hAnsi="Times New Roman" w:cs="Times New Roman"/>
          <w:lang w:val="fr-FR"/>
        </w:rPr>
        <w:t>la toate grupele de vârstă, cu 49%</w:t>
      </w:r>
      <w:r>
        <w:rPr>
          <w:rFonts w:ascii="Times New Roman" w:hAnsi="Times New Roman" w:cs="Times New Roman"/>
          <w:lang w:val="fr-FR"/>
        </w:rPr>
        <w:t xml:space="preserve"> </w:t>
      </w:r>
      <w:r w:rsidRPr="002306FB">
        <w:rPr>
          <w:rFonts w:ascii="Times New Roman" w:hAnsi="Times New Roman" w:cs="Times New Roman"/>
          <w:lang w:val="fr-FR"/>
        </w:rPr>
        <w:t>la grupa 10-19 ani</w:t>
      </w:r>
      <w:r w:rsidR="002306FB" w:rsidRPr="002306FB">
        <w:rPr>
          <w:rFonts w:ascii="Times New Roman" w:hAnsi="Times New Roman" w:cs="Times New Roman"/>
          <w:lang w:val="fr-FR"/>
        </w:rPr>
        <w:t>,</w:t>
      </w:r>
      <w:r w:rsidRPr="00C90A29">
        <w:rPr>
          <w:rFonts w:ascii="Times New Roman" w:hAnsi="Times New Roman" w:cs="Times New Roman"/>
          <w:lang w:val="fr-FR"/>
        </w:rPr>
        <w:t xml:space="preserve"> </w:t>
      </w:r>
      <w:r>
        <w:rPr>
          <w:rFonts w:ascii="Times New Roman" w:hAnsi="Times New Roman" w:cs="Times New Roman"/>
          <w:lang w:val="fr-FR"/>
        </w:rPr>
        <w:t xml:space="preserve">cu 89.5% </w:t>
      </w:r>
      <w:r w:rsidR="002306FB" w:rsidRPr="002306FB">
        <w:rPr>
          <w:rFonts w:ascii="Times New Roman" w:hAnsi="Times New Roman" w:cs="Times New Roman"/>
          <w:lang w:val="fr-FR"/>
        </w:rPr>
        <w:t xml:space="preserve"> la grupa 20-29 ani </w:t>
      </w:r>
      <w:r>
        <w:rPr>
          <w:rFonts w:ascii="Times New Roman" w:hAnsi="Times New Roman" w:cs="Times New Roman"/>
          <w:lang w:val="fr-FR"/>
        </w:rPr>
        <w:t xml:space="preserve">, cu </w:t>
      </w:r>
      <w:r w:rsidRPr="002306FB">
        <w:rPr>
          <w:rFonts w:ascii="Times New Roman" w:hAnsi="Times New Roman" w:cs="Times New Roman"/>
          <w:lang w:val="fr-FR"/>
        </w:rPr>
        <w:t>71%</w:t>
      </w:r>
      <w:r>
        <w:rPr>
          <w:rFonts w:ascii="Times New Roman" w:hAnsi="Times New Roman" w:cs="Times New Roman"/>
          <w:lang w:val="fr-FR"/>
        </w:rPr>
        <w:t xml:space="preserve"> </w:t>
      </w:r>
      <w:r w:rsidR="002306FB" w:rsidRPr="002306FB">
        <w:rPr>
          <w:rFonts w:ascii="Times New Roman" w:hAnsi="Times New Roman" w:cs="Times New Roman"/>
          <w:lang w:val="fr-FR"/>
        </w:rPr>
        <w:t>la grupa 30-39 ani cu</w:t>
      </w:r>
      <w:r>
        <w:rPr>
          <w:rFonts w:ascii="Times New Roman" w:hAnsi="Times New Roman" w:cs="Times New Roman"/>
          <w:lang w:val="fr-FR"/>
        </w:rPr>
        <w:t xml:space="preserve"> și cu 98% la</w:t>
      </w:r>
      <w:r w:rsidR="002306FB" w:rsidRPr="002306FB">
        <w:rPr>
          <w:rFonts w:ascii="Times New Roman" w:hAnsi="Times New Roman" w:cs="Times New Roman"/>
          <w:lang w:val="fr-FR"/>
        </w:rPr>
        <w:t xml:space="preserve"> grupa 40-49 ani</w:t>
      </w:r>
      <w:r>
        <w:rPr>
          <w:rFonts w:ascii="Times New Roman" w:hAnsi="Times New Roman" w:cs="Times New Roman"/>
          <w:lang w:val="fr-FR"/>
        </w:rPr>
        <w:t>.</w:t>
      </w:r>
      <w:r w:rsidR="002306FB" w:rsidRPr="002306FB">
        <w:rPr>
          <w:rFonts w:ascii="Times New Roman" w:hAnsi="Times New Roman" w:cs="Times New Roman"/>
          <w:lang w:val="fr-FR"/>
        </w:rPr>
        <w:t xml:space="preserve"> </w:t>
      </w:r>
    </w:p>
    <w:p w:rsidR="004603E4" w:rsidRDefault="004603E4" w:rsidP="00221AF3">
      <w:pPr>
        <w:spacing w:after="0" w:line="240" w:lineRule="auto"/>
        <w:rPr>
          <w:rFonts w:ascii="Times New Roman" w:eastAsia="Times New Roman" w:hAnsi="Times New Roman" w:cs="Times New Roman"/>
          <w:b/>
        </w:rPr>
      </w:pPr>
    </w:p>
    <w:p w:rsidR="004603E4" w:rsidRDefault="004603E4" w:rsidP="00221AF3">
      <w:pPr>
        <w:spacing w:after="0" w:line="240" w:lineRule="auto"/>
        <w:rPr>
          <w:rFonts w:ascii="Times New Roman" w:eastAsia="Times New Roman" w:hAnsi="Times New Roman" w:cs="Times New Roman"/>
          <w:b/>
        </w:rPr>
      </w:pPr>
    </w:p>
    <w:p w:rsidR="004603E4" w:rsidRDefault="004603E4" w:rsidP="00221AF3">
      <w:pPr>
        <w:spacing w:after="0" w:line="240" w:lineRule="auto"/>
        <w:rPr>
          <w:rFonts w:ascii="Times New Roman" w:eastAsia="Times New Roman" w:hAnsi="Times New Roman" w:cs="Times New Roman"/>
          <w:b/>
        </w:rPr>
      </w:pPr>
    </w:p>
    <w:p w:rsidR="004603E4" w:rsidRDefault="004603E4" w:rsidP="00221AF3">
      <w:pPr>
        <w:spacing w:after="0" w:line="240" w:lineRule="auto"/>
        <w:rPr>
          <w:rFonts w:ascii="Times New Roman" w:eastAsia="Times New Roman" w:hAnsi="Times New Roman" w:cs="Times New Roman"/>
          <w:b/>
        </w:rPr>
      </w:pPr>
    </w:p>
    <w:p w:rsidR="004603E4" w:rsidRDefault="004603E4" w:rsidP="00221AF3">
      <w:pPr>
        <w:spacing w:after="0" w:line="240" w:lineRule="auto"/>
        <w:rPr>
          <w:rFonts w:ascii="Times New Roman" w:eastAsia="Times New Roman" w:hAnsi="Times New Roman" w:cs="Times New Roman"/>
          <w:b/>
        </w:rPr>
      </w:pPr>
    </w:p>
    <w:p w:rsidR="00221AF3" w:rsidRPr="008643E2" w:rsidRDefault="00221AF3" w:rsidP="00221AF3">
      <w:pPr>
        <w:spacing w:after="0" w:line="240" w:lineRule="auto"/>
        <w:rPr>
          <w:rFonts w:ascii="Times New Roman" w:eastAsia="Times New Roman" w:hAnsi="Times New Roman" w:cs="Times New Roman"/>
          <w:b/>
          <w:lang w:val="ro-RO"/>
        </w:rPr>
      </w:pPr>
      <w:r w:rsidRPr="00FB0095">
        <w:rPr>
          <w:rFonts w:ascii="Times New Roman" w:eastAsia="Times New Roman" w:hAnsi="Times New Roman" w:cs="Times New Roman"/>
          <w:b/>
        </w:rPr>
        <w:lastRenderedPageBreak/>
        <w:t xml:space="preserve">Fig.  </w:t>
      </w:r>
      <w:r w:rsidR="00FB0095" w:rsidRPr="00FB0095">
        <w:rPr>
          <w:rFonts w:ascii="Times New Roman" w:eastAsia="Times New Roman" w:hAnsi="Times New Roman" w:cs="Times New Roman"/>
          <w:b/>
        </w:rPr>
        <w:t>1</w:t>
      </w:r>
      <w:r w:rsidR="00022FEA">
        <w:rPr>
          <w:rFonts w:ascii="Times New Roman" w:eastAsia="Times New Roman" w:hAnsi="Times New Roman" w:cs="Times New Roman"/>
          <w:b/>
        </w:rPr>
        <w:t>5</w:t>
      </w:r>
      <w:r w:rsidR="00FB0095">
        <w:rPr>
          <w:rFonts w:ascii="Times New Roman" w:eastAsia="Times New Roman" w:hAnsi="Times New Roman" w:cs="Times New Roman"/>
          <w:b/>
        </w:rPr>
        <w:t>.</w:t>
      </w:r>
      <w:r w:rsidRPr="008643E2">
        <w:rPr>
          <w:rFonts w:ascii="Times New Roman" w:eastAsia="Times New Roman" w:hAnsi="Times New Roman" w:cs="Times New Roman"/>
          <w:b/>
        </w:rPr>
        <w:t xml:space="preserve">   Mortalitate maternă prin complicații ale sarcinii, nașterii și lăuziei în România, 2011‐2020</w:t>
      </w:r>
      <w:r w:rsidR="00CD2C32">
        <w:rPr>
          <w:rFonts w:ascii="Times New Roman" w:eastAsia="Times New Roman" w:hAnsi="Times New Roman" w:cs="Times New Roman"/>
          <w:b/>
        </w:rPr>
        <w:t xml:space="preserve"> (</w:t>
      </w:r>
      <w:r w:rsidR="00E044A0">
        <w:rPr>
          <w:rFonts w:ascii="Times New Roman" w:eastAsia="Times New Roman" w:hAnsi="Times New Roman" w:cs="Times New Roman"/>
          <w:b/>
        </w:rPr>
        <w:t>%ooo</w:t>
      </w:r>
      <w:r w:rsidRPr="008643E2">
        <w:rPr>
          <w:rFonts w:ascii="Times New Roman" w:eastAsia="Times New Roman" w:hAnsi="Times New Roman" w:cs="Times New Roman"/>
          <w:b/>
        </w:rPr>
        <w:t xml:space="preserve"> n</w:t>
      </w:r>
      <w:r w:rsidR="008643E2">
        <w:rPr>
          <w:rFonts w:ascii="Times New Roman" w:eastAsia="Times New Roman" w:hAnsi="Times New Roman" w:cs="Times New Roman"/>
          <w:b/>
        </w:rPr>
        <w:t>ă</w:t>
      </w:r>
      <w:r w:rsidRPr="008643E2">
        <w:rPr>
          <w:rFonts w:ascii="Times New Roman" w:eastAsia="Times New Roman" w:hAnsi="Times New Roman" w:cs="Times New Roman"/>
          <w:b/>
        </w:rPr>
        <w:t>sc</w:t>
      </w:r>
      <w:r w:rsidR="008643E2">
        <w:rPr>
          <w:rFonts w:ascii="Times New Roman" w:eastAsia="Times New Roman" w:hAnsi="Times New Roman" w:cs="Times New Roman"/>
          <w:b/>
        </w:rPr>
        <w:t>uți</w:t>
      </w:r>
      <w:r w:rsidRPr="008643E2">
        <w:rPr>
          <w:rFonts w:ascii="Times New Roman" w:eastAsia="Times New Roman" w:hAnsi="Times New Roman" w:cs="Times New Roman"/>
          <w:b/>
        </w:rPr>
        <w:t xml:space="preserve"> vii</w:t>
      </w:r>
      <w:r w:rsidR="000A0AE6" w:rsidRPr="008643E2">
        <w:rPr>
          <w:rFonts w:ascii="Times New Roman" w:eastAsia="Times New Roman" w:hAnsi="Times New Roman" w:cs="Times New Roman"/>
          <w:b/>
        </w:rPr>
        <w:t xml:space="preserve"> </w:t>
      </w:r>
      <w:r w:rsidR="00CD2C32">
        <w:rPr>
          <w:rFonts w:ascii="Times New Roman" w:eastAsia="Times New Roman" w:hAnsi="Times New Roman" w:cs="Times New Roman"/>
          <w:b/>
        </w:rPr>
        <w:t>)</w:t>
      </w:r>
      <w:r w:rsidR="000A0AE6" w:rsidRPr="008643E2">
        <w:rPr>
          <w:rFonts w:ascii="Times New Roman" w:eastAsia="Times New Roman" w:hAnsi="Times New Roman" w:cs="Times New Roman"/>
          <w:b/>
        </w:rPr>
        <w:t xml:space="preserve">     </w:t>
      </w:r>
    </w:p>
    <w:p w:rsidR="00221AF3" w:rsidRDefault="00221AF3" w:rsidP="002306FB">
      <w:pPr>
        <w:spacing w:after="0"/>
        <w:rPr>
          <w:rFonts w:ascii="Times New Roman" w:hAnsi="Times New Roman" w:cs="Times New Roman"/>
          <w:lang w:val="fr-FR"/>
        </w:rPr>
      </w:pPr>
      <w:r w:rsidRPr="00A71A1C">
        <w:rPr>
          <w:b/>
          <w:noProof/>
          <w:color w:val="FF0000"/>
        </w:rPr>
        <w:drawing>
          <wp:inline distT="0" distB="0" distL="0" distR="0" wp14:anchorId="344D7803" wp14:editId="1B01C9E2">
            <wp:extent cx="5848350" cy="14763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9484D" w:rsidRPr="0099484D" w:rsidRDefault="0099484D" w:rsidP="002306FB">
      <w:pPr>
        <w:spacing w:after="0"/>
        <w:rPr>
          <w:rFonts w:ascii="Times New Roman" w:hAnsi="Times New Roman" w:cs="Times New Roman"/>
          <w:sz w:val="20"/>
          <w:szCs w:val="20"/>
          <w:vertAlign w:val="superscript"/>
        </w:rPr>
      </w:pPr>
      <w:r w:rsidRPr="0099484D">
        <w:rPr>
          <w:rFonts w:ascii="Times New Roman" w:hAnsi="Times New Roman" w:cs="Times New Roman"/>
          <w:sz w:val="20"/>
          <w:szCs w:val="20"/>
        </w:rPr>
        <w:t>Sursa:</w:t>
      </w:r>
      <w:r w:rsidR="00810BE8">
        <w:rPr>
          <w:rFonts w:ascii="Times New Roman" w:hAnsi="Times New Roman" w:cs="Times New Roman"/>
          <w:sz w:val="20"/>
          <w:szCs w:val="20"/>
        </w:rPr>
        <w:t xml:space="preserve"> INSSE, </w:t>
      </w:r>
      <w:hyperlink r:id="rId40" w:history="1">
        <w:r w:rsidRPr="0099484D">
          <w:rPr>
            <w:rStyle w:val="Hyperlink"/>
            <w:rFonts w:ascii="Times New Roman" w:hAnsi="Times New Roman" w:cs="Times New Roman"/>
            <w:sz w:val="20"/>
            <w:szCs w:val="20"/>
          </w:rPr>
          <w:t>https://insp.gov.ro/download/cnsisp/Fisiere-de-pe-site-CNSISP/mortalitatea_materna/Mortalitatea-materna-in-Romania-2021.pdf</w:t>
        </w:r>
      </w:hyperlink>
      <w:r>
        <w:rPr>
          <w:rFonts w:ascii="Times New Roman" w:hAnsi="Times New Roman" w:cs="Times New Roman"/>
          <w:sz w:val="20"/>
          <w:szCs w:val="20"/>
          <w:vertAlign w:val="superscript"/>
        </w:rPr>
        <w:t>20</w:t>
      </w:r>
    </w:p>
    <w:p w:rsidR="008643E2" w:rsidRDefault="008643E2" w:rsidP="002306FB">
      <w:pPr>
        <w:spacing w:after="0"/>
        <w:rPr>
          <w:rFonts w:ascii="Times New Roman" w:hAnsi="Times New Roman" w:cs="Times New Roman"/>
          <w:lang w:val="fr-FR"/>
        </w:rPr>
      </w:pPr>
      <w:r>
        <w:rPr>
          <w:rFonts w:ascii="Times New Roman" w:hAnsi="Times New Roman" w:cs="Times New Roman"/>
          <w:lang w:val="fr-FR"/>
        </w:rPr>
        <w:t xml:space="preserve">În perioada 2011-2020, mortalitatea maternă cauzată de sarcină/naștere/lauzie, a inregistrat scăderi cu </w:t>
      </w:r>
      <w:r w:rsidR="00595F43">
        <w:rPr>
          <w:rFonts w:ascii="Times New Roman" w:hAnsi="Times New Roman" w:cs="Times New Roman"/>
          <w:lang w:val="fr-FR"/>
        </w:rPr>
        <w:t>58</w:t>
      </w:r>
      <w:r>
        <w:rPr>
          <w:rFonts w:ascii="Times New Roman" w:hAnsi="Times New Roman" w:cs="Times New Roman"/>
          <w:lang w:val="fr-FR"/>
        </w:rPr>
        <w:t>%.</w:t>
      </w:r>
      <w:r w:rsidR="00595F43">
        <w:rPr>
          <w:rFonts w:ascii="Times New Roman" w:hAnsi="Times New Roman" w:cs="Times New Roman"/>
          <w:lang w:val="fr-FR"/>
        </w:rPr>
        <w:t xml:space="preserve"> Deși în anul 2021 s-au înregistrat un număr de 20 decese cauzate de sarcină/naștere/lăuzie, rata de mortalitate maternă este mai mare decât în 2011, când s-a înregistrat un număr de 50 decese, cu aprox.9%.</w:t>
      </w:r>
    </w:p>
    <w:p w:rsidR="00221AF3" w:rsidRDefault="00FB0095" w:rsidP="002306FB">
      <w:pPr>
        <w:spacing w:after="0"/>
        <w:rPr>
          <w:rFonts w:ascii="Times New Roman" w:hAnsi="Times New Roman" w:cs="Times New Roman"/>
          <w:lang w:val="fr-FR"/>
        </w:rPr>
      </w:pPr>
      <w:r>
        <w:rPr>
          <w:rFonts w:ascii="Times New Roman" w:hAnsi="Times New Roman" w:cs="Times New Roman"/>
          <w:b/>
          <w:lang w:val="fr-FR"/>
        </w:rPr>
        <w:t>Fig. 1</w:t>
      </w:r>
      <w:r w:rsidR="00022FEA">
        <w:rPr>
          <w:rFonts w:ascii="Times New Roman" w:hAnsi="Times New Roman" w:cs="Times New Roman"/>
          <w:b/>
          <w:lang w:val="fr-FR"/>
        </w:rPr>
        <w:t>6.</w:t>
      </w:r>
      <w:r w:rsidR="000A0AE6" w:rsidRPr="000A0AE6">
        <w:rPr>
          <w:rFonts w:ascii="Times New Roman" w:hAnsi="Times New Roman" w:cs="Times New Roman"/>
          <w:b/>
          <w:lang w:val="fr-FR"/>
        </w:rPr>
        <w:t xml:space="preserve">  </w:t>
      </w:r>
      <w:r w:rsidR="00221AF3" w:rsidRPr="000A0AE6">
        <w:rPr>
          <w:rFonts w:ascii="Times New Roman" w:hAnsi="Times New Roman" w:cs="Times New Roman"/>
          <w:b/>
          <w:lang w:val="fr-FR"/>
        </w:rPr>
        <w:t>Mortalitate matern</w:t>
      </w:r>
      <w:r w:rsidR="002B5BE7">
        <w:rPr>
          <w:rFonts w:ascii="Times New Roman" w:hAnsi="Times New Roman" w:cs="Times New Roman"/>
          <w:b/>
          <w:lang w:val="fr-FR"/>
        </w:rPr>
        <w:t>ă</w:t>
      </w:r>
      <w:r w:rsidR="00221AF3" w:rsidRPr="000A0AE6">
        <w:rPr>
          <w:rFonts w:ascii="Times New Roman" w:hAnsi="Times New Roman" w:cs="Times New Roman"/>
          <w:b/>
          <w:lang w:val="fr-FR"/>
        </w:rPr>
        <w:t xml:space="preserve">, prin avort </w:t>
      </w:r>
      <w:r w:rsidR="002B5BE7">
        <w:rPr>
          <w:rFonts w:ascii="Times New Roman" w:hAnsi="Times New Roman" w:cs="Times New Roman"/>
          <w:b/>
          <w:lang w:val="fr-FR"/>
        </w:rPr>
        <w:t>ș</w:t>
      </w:r>
      <w:r w:rsidR="00221AF3" w:rsidRPr="000A0AE6">
        <w:rPr>
          <w:rFonts w:ascii="Times New Roman" w:hAnsi="Times New Roman" w:cs="Times New Roman"/>
          <w:b/>
          <w:lang w:val="fr-FR"/>
        </w:rPr>
        <w:t>i riscuri obstetric</w:t>
      </w:r>
      <w:r w:rsidR="006B00C0">
        <w:rPr>
          <w:rFonts w:ascii="Times New Roman" w:hAnsi="Times New Roman" w:cs="Times New Roman"/>
          <w:b/>
          <w:lang w:val="fr-FR"/>
        </w:rPr>
        <w:t>ale, Rom</w:t>
      </w:r>
      <w:r w:rsidR="002B5BE7">
        <w:rPr>
          <w:rFonts w:ascii="Times New Roman" w:hAnsi="Times New Roman" w:cs="Times New Roman"/>
          <w:b/>
          <w:lang w:val="fr-FR"/>
        </w:rPr>
        <w:t>â</w:t>
      </w:r>
      <w:r w:rsidR="006B00C0">
        <w:rPr>
          <w:rFonts w:ascii="Times New Roman" w:hAnsi="Times New Roman" w:cs="Times New Roman"/>
          <w:b/>
          <w:lang w:val="fr-FR"/>
        </w:rPr>
        <w:t>nia, 2011-2020, %ooo</w:t>
      </w:r>
      <w:r w:rsidR="00221AF3" w:rsidRPr="000A0AE6">
        <w:rPr>
          <w:rFonts w:ascii="Times New Roman" w:hAnsi="Times New Roman" w:cs="Times New Roman"/>
          <w:b/>
          <w:lang w:val="fr-FR"/>
        </w:rPr>
        <w:t xml:space="preserve"> n</w:t>
      </w:r>
      <w:r w:rsidR="002B5BE7">
        <w:rPr>
          <w:rFonts w:ascii="Times New Roman" w:hAnsi="Times New Roman" w:cs="Times New Roman"/>
          <w:b/>
          <w:lang w:val="fr-FR"/>
        </w:rPr>
        <w:t>ă</w:t>
      </w:r>
      <w:r w:rsidR="00221AF3" w:rsidRPr="000A0AE6">
        <w:rPr>
          <w:rFonts w:ascii="Times New Roman" w:hAnsi="Times New Roman" w:cs="Times New Roman"/>
          <w:b/>
          <w:lang w:val="fr-FR"/>
        </w:rPr>
        <w:t>sc.vii</w:t>
      </w:r>
      <w:r w:rsidR="00221AF3">
        <w:rPr>
          <w:noProof/>
          <w:color w:val="00B050"/>
        </w:rPr>
        <w:drawing>
          <wp:inline distT="0" distB="0" distL="0" distR="0" wp14:anchorId="02A04D19" wp14:editId="5ABA6B68">
            <wp:extent cx="6134100" cy="36671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9484D" w:rsidRPr="0099484D" w:rsidRDefault="0099484D" w:rsidP="0099484D">
      <w:pPr>
        <w:spacing w:after="0"/>
        <w:rPr>
          <w:rFonts w:ascii="Times New Roman" w:hAnsi="Times New Roman" w:cs="Times New Roman"/>
          <w:sz w:val="20"/>
          <w:szCs w:val="20"/>
          <w:vertAlign w:val="superscript"/>
        </w:rPr>
      </w:pPr>
      <w:r w:rsidRPr="0099484D">
        <w:rPr>
          <w:rFonts w:ascii="Times New Roman" w:hAnsi="Times New Roman" w:cs="Times New Roman"/>
          <w:sz w:val="20"/>
          <w:szCs w:val="20"/>
        </w:rPr>
        <w:t xml:space="preserve">Sursa: </w:t>
      </w:r>
      <w:hyperlink r:id="rId42" w:history="1">
        <w:r w:rsidRPr="0099484D">
          <w:rPr>
            <w:rStyle w:val="Hyperlink"/>
            <w:rFonts w:ascii="Times New Roman" w:hAnsi="Times New Roman" w:cs="Times New Roman"/>
            <w:sz w:val="20"/>
            <w:szCs w:val="20"/>
          </w:rPr>
          <w:t>https://insp.gov.ro/download/cnsisp/Fisiere-de-pe-site-CNSISP/mortalitatea_materna/Mortalitatea-materna-in-Romania-2021.pdf</w:t>
        </w:r>
      </w:hyperlink>
      <w:r>
        <w:rPr>
          <w:rFonts w:ascii="Times New Roman" w:hAnsi="Times New Roman" w:cs="Times New Roman"/>
          <w:sz w:val="20"/>
          <w:szCs w:val="20"/>
          <w:vertAlign w:val="superscript"/>
        </w:rPr>
        <w:t>20</w:t>
      </w:r>
    </w:p>
    <w:p w:rsidR="00221AF3" w:rsidRPr="002306FB" w:rsidRDefault="000A0AE6" w:rsidP="002306FB">
      <w:pPr>
        <w:spacing w:after="0"/>
        <w:rPr>
          <w:rFonts w:ascii="Times New Roman" w:hAnsi="Times New Roman" w:cs="Times New Roman"/>
          <w:b/>
          <w:lang w:val="fr-FR"/>
        </w:rPr>
      </w:pPr>
      <w:r w:rsidRPr="000A0AE6">
        <w:rPr>
          <w:rFonts w:ascii="Times New Roman" w:hAnsi="Times New Roman" w:cs="Times New Roman"/>
          <w:lang w:val="fr-FR"/>
        </w:rPr>
        <w:t>Riscurile obstetricale reprezintă cauza cea mai frecventă de mortlitate maternă</w:t>
      </w:r>
      <w:r>
        <w:rPr>
          <w:rFonts w:ascii="Times New Roman" w:hAnsi="Times New Roman" w:cs="Times New Roman"/>
          <w:b/>
          <w:lang w:val="fr-FR"/>
        </w:rPr>
        <w:t>, în perioada 2011-2020.</w:t>
      </w:r>
    </w:p>
    <w:p w:rsidR="002306FB" w:rsidRPr="002306FB" w:rsidRDefault="002306FB" w:rsidP="002306FB">
      <w:pPr>
        <w:tabs>
          <w:tab w:val="left" w:pos="0"/>
        </w:tabs>
        <w:spacing w:after="0"/>
        <w:jc w:val="both"/>
        <w:rPr>
          <w:rFonts w:ascii="Times New Roman" w:hAnsi="Times New Roman" w:cs="Times New Roman"/>
          <w:lang w:val="ro-RO"/>
        </w:rPr>
      </w:pPr>
      <w:r w:rsidRPr="002306FB">
        <w:rPr>
          <w:rFonts w:ascii="Times New Roman" w:hAnsi="Times New Roman" w:cs="Times New Roman"/>
          <w:lang w:val="ro-RO"/>
        </w:rPr>
        <w:t>Mortalitatea maternă prin risc obstetrical direct a înregistrat cea mai mare valoare la grupa de vârstă 30-39 ani (61.59% din decesele materne prin risc direct).</w:t>
      </w:r>
    </w:p>
    <w:p w:rsidR="002306FB" w:rsidRPr="002306FB" w:rsidRDefault="002306FB" w:rsidP="002306FB">
      <w:pPr>
        <w:spacing w:after="0"/>
        <w:rPr>
          <w:rFonts w:ascii="Times New Roman" w:hAnsi="Times New Roman" w:cs="Times New Roman"/>
          <w:b/>
          <w:lang w:val="fr-FR"/>
        </w:rPr>
      </w:pPr>
      <w:r w:rsidRPr="002306FB">
        <w:rPr>
          <w:rFonts w:ascii="Times New Roman" w:hAnsi="Times New Roman" w:cs="Times New Roman"/>
          <w:b/>
          <w:lang w:val="fr-FR"/>
        </w:rPr>
        <w:t xml:space="preserve">Fig. </w:t>
      </w:r>
      <w:r w:rsidR="00FB0095">
        <w:rPr>
          <w:rFonts w:ascii="Times New Roman" w:hAnsi="Times New Roman" w:cs="Times New Roman"/>
          <w:b/>
          <w:lang w:val="fr-FR"/>
        </w:rPr>
        <w:t>1</w:t>
      </w:r>
      <w:r w:rsidR="00022FEA">
        <w:rPr>
          <w:rFonts w:ascii="Times New Roman" w:hAnsi="Times New Roman" w:cs="Times New Roman"/>
          <w:b/>
          <w:lang w:val="fr-FR"/>
        </w:rPr>
        <w:t>7</w:t>
      </w:r>
      <w:r w:rsidRPr="002306FB">
        <w:rPr>
          <w:rFonts w:ascii="Times New Roman" w:hAnsi="Times New Roman" w:cs="Times New Roman"/>
          <w:b/>
          <w:lang w:val="fr-FR"/>
        </w:rPr>
        <w:t xml:space="preserve">. </w:t>
      </w:r>
      <w:r w:rsidR="00221AF3">
        <w:rPr>
          <w:rFonts w:ascii="Times New Roman" w:hAnsi="Times New Roman" w:cs="Times New Roman"/>
          <w:b/>
          <w:lang w:val="fr-FR"/>
        </w:rPr>
        <w:t xml:space="preserve">Ponderea deceselor prin </w:t>
      </w:r>
      <w:r w:rsidRPr="00221AF3">
        <w:rPr>
          <w:rFonts w:ascii="Times New Roman" w:hAnsi="Times New Roman" w:cs="Times New Roman"/>
          <w:b/>
          <w:sz w:val="24"/>
          <w:szCs w:val="24"/>
          <w:u w:val="single"/>
          <w:lang w:val="fr-FR"/>
        </w:rPr>
        <w:t>risc obst. direct pe grupe de vârstă ale mamei</w:t>
      </w:r>
      <w:r w:rsidRPr="002306FB">
        <w:rPr>
          <w:rFonts w:ascii="Times New Roman" w:hAnsi="Times New Roman" w:cs="Times New Roman"/>
          <w:b/>
          <w:lang w:val="fr-FR"/>
        </w:rPr>
        <w:t xml:space="preserve"> (% din total decese prin risc obst. direct), 2011-2021</w:t>
      </w:r>
      <w:r w:rsidR="00DF76DC">
        <w:rPr>
          <w:rFonts w:ascii="Times New Roman" w:hAnsi="Times New Roman" w:cs="Times New Roman"/>
          <w:b/>
          <w:lang w:val="fr-FR"/>
        </w:rPr>
        <w:t xml:space="preserve"> </w:t>
      </w:r>
      <w:r w:rsidR="00DF76DC" w:rsidRPr="002306FB">
        <w:rPr>
          <w:rFonts w:ascii="Times New Roman" w:hAnsi="Times New Roman" w:cs="Times New Roman"/>
          <w:b/>
          <w:lang w:val="fr-FR"/>
        </w:rPr>
        <w:t>(‰oo născuți vii)</w:t>
      </w:r>
    </w:p>
    <w:p w:rsidR="002306FB" w:rsidRDefault="002306FB" w:rsidP="0093465E">
      <w:pPr>
        <w:spacing w:after="0"/>
        <w:rPr>
          <w:rFonts w:ascii="Times New Roman" w:hAnsi="Times New Roman" w:cs="Times New Roman"/>
          <w:sz w:val="28"/>
          <w:szCs w:val="28"/>
        </w:rPr>
      </w:pPr>
      <w:r>
        <w:rPr>
          <w:rFonts w:ascii="Times New Roman" w:hAnsi="Times New Roman" w:cs="Times New Roman"/>
          <w:b/>
          <w:noProof/>
        </w:rPr>
        <w:lastRenderedPageBreak/>
        <w:drawing>
          <wp:inline distT="0" distB="0" distL="0" distR="0" wp14:anchorId="2935F4F4" wp14:editId="1602F4A2">
            <wp:extent cx="4781550" cy="13430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9484D" w:rsidRPr="0099484D" w:rsidRDefault="0099484D" w:rsidP="0099484D">
      <w:pPr>
        <w:spacing w:after="0"/>
        <w:rPr>
          <w:rFonts w:ascii="Times New Roman" w:hAnsi="Times New Roman" w:cs="Times New Roman"/>
          <w:sz w:val="20"/>
          <w:szCs w:val="20"/>
          <w:vertAlign w:val="superscript"/>
        </w:rPr>
      </w:pPr>
      <w:r w:rsidRPr="0099484D">
        <w:rPr>
          <w:rFonts w:ascii="Times New Roman" w:hAnsi="Times New Roman" w:cs="Times New Roman"/>
          <w:sz w:val="20"/>
          <w:szCs w:val="20"/>
        </w:rPr>
        <w:t xml:space="preserve">Sursa: </w:t>
      </w:r>
      <w:hyperlink r:id="rId44" w:history="1">
        <w:r w:rsidRPr="0099484D">
          <w:rPr>
            <w:rStyle w:val="Hyperlink"/>
            <w:rFonts w:ascii="Times New Roman" w:hAnsi="Times New Roman" w:cs="Times New Roman"/>
            <w:sz w:val="20"/>
            <w:szCs w:val="20"/>
          </w:rPr>
          <w:t>https://insp.gov.ro/download/cnsisp/Fisiere-de-pe-site-CNSISP/mortalitatea_materna/Mortalitatea-materna-in-Romania-2021.pdf</w:t>
        </w:r>
      </w:hyperlink>
      <w:r>
        <w:rPr>
          <w:rFonts w:ascii="Times New Roman" w:hAnsi="Times New Roman" w:cs="Times New Roman"/>
          <w:sz w:val="20"/>
          <w:szCs w:val="20"/>
          <w:vertAlign w:val="superscript"/>
        </w:rPr>
        <w:t>20</w:t>
      </w:r>
    </w:p>
    <w:p w:rsidR="00FF4F2D" w:rsidRPr="00FF4F2D" w:rsidRDefault="00FF4F2D" w:rsidP="0093465E">
      <w:pPr>
        <w:spacing w:after="0"/>
        <w:rPr>
          <w:rFonts w:ascii="Times New Roman" w:hAnsi="Times New Roman" w:cs="Times New Roman"/>
          <w:color w:val="FF0000"/>
        </w:rPr>
      </w:pPr>
      <w:r>
        <w:rPr>
          <w:rFonts w:ascii="Times New Roman" w:hAnsi="Times New Roman" w:cs="Times New Roman"/>
        </w:rPr>
        <w:t>Pe grupe de vârstă, cele mai multe decese materne au fost înregistrate la grupa 30-39 de ani.</w:t>
      </w:r>
    </w:p>
    <w:p w:rsidR="002306FB" w:rsidRPr="002306FB" w:rsidRDefault="002306FB" w:rsidP="002306FB">
      <w:pPr>
        <w:spacing w:after="0"/>
        <w:rPr>
          <w:rFonts w:ascii="Times New Roman" w:hAnsi="Times New Roman" w:cs="Times New Roman"/>
          <w:lang w:val="fr-FR"/>
        </w:rPr>
      </w:pPr>
      <w:r w:rsidRPr="002306FB">
        <w:rPr>
          <w:rFonts w:ascii="Times New Roman" w:hAnsi="Times New Roman" w:cs="Times New Roman"/>
          <w:lang w:val="fr-FR"/>
        </w:rPr>
        <w:t>Prin risc obst. indirect, grupele de vârstă unde se înregistrează cele mai mari valori ale mortalității materne sunt 25-29 ani (25.53% dintre decesele materne prin risc indirect)  și 30-34 ani (24.11%).</w:t>
      </w:r>
    </w:p>
    <w:p w:rsidR="0099484D" w:rsidRDefault="0099484D" w:rsidP="002306FB">
      <w:pPr>
        <w:spacing w:after="0"/>
        <w:rPr>
          <w:rFonts w:ascii="Times New Roman" w:hAnsi="Times New Roman" w:cs="Times New Roman"/>
          <w:b/>
          <w:lang w:val="fr-FR"/>
        </w:rPr>
      </w:pPr>
    </w:p>
    <w:p w:rsidR="002306FB" w:rsidRPr="002306FB" w:rsidRDefault="002306FB" w:rsidP="002306FB">
      <w:pPr>
        <w:spacing w:after="0"/>
        <w:rPr>
          <w:rFonts w:ascii="Times New Roman" w:hAnsi="Times New Roman" w:cs="Times New Roman"/>
          <w:b/>
          <w:lang w:val="fr-FR"/>
        </w:rPr>
      </w:pPr>
      <w:r w:rsidRPr="002306FB">
        <w:rPr>
          <w:rFonts w:ascii="Times New Roman" w:hAnsi="Times New Roman" w:cs="Times New Roman"/>
          <w:b/>
          <w:lang w:val="fr-FR"/>
        </w:rPr>
        <w:t>Fig.</w:t>
      </w:r>
      <w:r w:rsidR="00FB0095">
        <w:rPr>
          <w:rFonts w:ascii="Times New Roman" w:hAnsi="Times New Roman" w:cs="Times New Roman"/>
          <w:b/>
          <w:lang w:val="fr-FR"/>
        </w:rPr>
        <w:t>1</w:t>
      </w:r>
      <w:r w:rsidR="00022FEA">
        <w:rPr>
          <w:rFonts w:ascii="Times New Roman" w:hAnsi="Times New Roman" w:cs="Times New Roman"/>
          <w:b/>
          <w:lang w:val="fr-FR"/>
        </w:rPr>
        <w:t>8</w:t>
      </w:r>
      <w:r w:rsidRPr="002306FB">
        <w:rPr>
          <w:rFonts w:ascii="Times New Roman" w:hAnsi="Times New Roman" w:cs="Times New Roman"/>
          <w:b/>
          <w:lang w:val="fr-FR"/>
        </w:rPr>
        <w:t xml:space="preserve">. </w:t>
      </w:r>
      <w:r w:rsidR="00221AF3">
        <w:rPr>
          <w:rFonts w:ascii="Times New Roman" w:hAnsi="Times New Roman" w:cs="Times New Roman"/>
          <w:b/>
          <w:lang w:val="fr-FR"/>
        </w:rPr>
        <w:t xml:space="preserve">Ponderea deceselor </w:t>
      </w:r>
      <w:r w:rsidRPr="002306FB">
        <w:rPr>
          <w:rFonts w:ascii="Times New Roman" w:hAnsi="Times New Roman" w:cs="Times New Roman"/>
          <w:b/>
          <w:lang w:val="fr-FR"/>
        </w:rPr>
        <w:t xml:space="preserve"> prin risc obst. indirect pe grupe de vârstă ale mamei (% din total decese prin risc obst. indirect), 2011-2020</w:t>
      </w:r>
    </w:p>
    <w:p w:rsidR="002306FB" w:rsidRDefault="002306FB" w:rsidP="0093465E">
      <w:pPr>
        <w:spacing w:after="0"/>
        <w:rPr>
          <w:rFonts w:ascii="Times New Roman" w:hAnsi="Times New Roman" w:cs="Times New Roman"/>
          <w:sz w:val="28"/>
          <w:szCs w:val="28"/>
        </w:rPr>
      </w:pPr>
      <w:r>
        <w:rPr>
          <w:rFonts w:ascii="Times New Roman" w:hAnsi="Times New Roman" w:cs="Times New Roman"/>
          <w:b/>
          <w:noProof/>
        </w:rPr>
        <w:drawing>
          <wp:inline distT="0" distB="0" distL="0" distR="0" wp14:anchorId="1D6A19D6" wp14:editId="0A6DDEDE">
            <wp:extent cx="4781550" cy="136207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9484D" w:rsidRPr="0099484D" w:rsidRDefault="0099484D" w:rsidP="0099484D">
      <w:pPr>
        <w:spacing w:after="0"/>
        <w:rPr>
          <w:rFonts w:ascii="Times New Roman" w:hAnsi="Times New Roman" w:cs="Times New Roman"/>
          <w:sz w:val="20"/>
          <w:szCs w:val="20"/>
          <w:vertAlign w:val="superscript"/>
        </w:rPr>
      </w:pPr>
      <w:r w:rsidRPr="0099484D">
        <w:rPr>
          <w:rFonts w:ascii="Times New Roman" w:hAnsi="Times New Roman" w:cs="Times New Roman"/>
          <w:sz w:val="20"/>
          <w:szCs w:val="20"/>
        </w:rPr>
        <w:t xml:space="preserve">Sursa: </w:t>
      </w:r>
      <w:hyperlink r:id="rId46" w:history="1">
        <w:r w:rsidRPr="0099484D">
          <w:rPr>
            <w:rStyle w:val="Hyperlink"/>
            <w:rFonts w:ascii="Times New Roman" w:hAnsi="Times New Roman" w:cs="Times New Roman"/>
            <w:sz w:val="20"/>
            <w:szCs w:val="20"/>
          </w:rPr>
          <w:t>https://insp.gov.ro/download/cnsisp/Fisiere-de-pe-site-CNSISP/mortalitatea_materna/Mortalitatea-materna-in-Romania-2021.pdf</w:t>
        </w:r>
      </w:hyperlink>
      <w:r>
        <w:rPr>
          <w:rFonts w:ascii="Times New Roman" w:hAnsi="Times New Roman" w:cs="Times New Roman"/>
          <w:sz w:val="20"/>
          <w:szCs w:val="20"/>
          <w:vertAlign w:val="superscript"/>
        </w:rPr>
        <w:t>20</w:t>
      </w:r>
    </w:p>
    <w:p w:rsidR="002306FB" w:rsidRPr="008643E2" w:rsidRDefault="002306FB" w:rsidP="002306FB">
      <w:pPr>
        <w:spacing w:after="0"/>
        <w:rPr>
          <w:rFonts w:ascii="Times New Roman" w:hAnsi="Times New Roman" w:cs="Times New Roman"/>
        </w:rPr>
      </w:pPr>
      <w:r w:rsidRPr="002306FB">
        <w:rPr>
          <w:rFonts w:ascii="Times New Roman" w:hAnsi="Times New Roman" w:cs="Times New Roman"/>
          <w:b/>
          <w:color w:val="00B050"/>
          <w:lang w:val="fr-FR"/>
        </w:rPr>
        <w:t xml:space="preserve">   </w:t>
      </w:r>
      <w:r w:rsidRPr="002306FB">
        <w:rPr>
          <w:rFonts w:ascii="Times New Roman" w:hAnsi="Times New Roman" w:cs="Times New Roman"/>
          <w:lang w:val="fr-FR"/>
        </w:rPr>
        <w:t>Prin avort, grupa de vârstă unde se înregistrează cele mai mari valori ale mortalității materne este 30-39 ani (54.55% dintre decesele materne prin avort).</w:t>
      </w:r>
    </w:p>
    <w:p w:rsidR="002306FB" w:rsidRPr="002306FB" w:rsidRDefault="002306FB" w:rsidP="002306FB">
      <w:pPr>
        <w:spacing w:after="0"/>
        <w:rPr>
          <w:rFonts w:ascii="Times New Roman" w:hAnsi="Times New Roman" w:cs="Times New Roman"/>
          <w:b/>
          <w:lang w:val="fr-FR"/>
        </w:rPr>
      </w:pPr>
      <w:r w:rsidRPr="002306FB">
        <w:rPr>
          <w:rFonts w:ascii="Times New Roman" w:hAnsi="Times New Roman" w:cs="Times New Roman"/>
          <w:b/>
          <w:lang w:val="fr-FR"/>
        </w:rPr>
        <w:t>Fig.</w:t>
      </w:r>
      <w:r w:rsidR="00022FEA">
        <w:rPr>
          <w:rFonts w:ascii="Times New Roman" w:hAnsi="Times New Roman" w:cs="Times New Roman"/>
          <w:b/>
          <w:lang w:val="fr-FR"/>
        </w:rPr>
        <w:t>19</w:t>
      </w:r>
      <w:r w:rsidRPr="002306FB">
        <w:rPr>
          <w:rFonts w:ascii="Times New Roman" w:hAnsi="Times New Roman" w:cs="Times New Roman"/>
          <w:b/>
          <w:lang w:val="fr-FR"/>
        </w:rPr>
        <w:t>.</w:t>
      </w:r>
      <w:r w:rsidR="00221AF3">
        <w:rPr>
          <w:rFonts w:ascii="Times New Roman" w:hAnsi="Times New Roman" w:cs="Times New Roman"/>
          <w:b/>
          <w:lang w:val="fr-FR"/>
        </w:rPr>
        <w:t xml:space="preserve"> Ponderea deceselor prin avort </w:t>
      </w:r>
      <w:r w:rsidRPr="002306FB">
        <w:rPr>
          <w:rFonts w:ascii="Times New Roman" w:hAnsi="Times New Roman" w:cs="Times New Roman"/>
          <w:b/>
          <w:lang w:val="fr-FR"/>
        </w:rPr>
        <w:t>pe grupe de vârstă ale mamei (% din total decese prin avort), 2011-2020</w:t>
      </w:r>
    </w:p>
    <w:p w:rsidR="002306FB" w:rsidRDefault="002306FB" w:rsidP="0093465E">
      <w:pPr>
        <w:spacing w:after="0"/>
        <w:rPr>
          <w:rFonts w:ascii="Times New Roman" w:hAnsi="Times New Roman" w:cs="Times New Roman"/>
          <w:sz w:val="28"/>
          <w:szCs w:val="28"/>
        </w:rPr>
      </w:pPr>
      <w:r>
        <w:rPr>
          <w:rFonts w:ascii="Times New Roman" w:hAnsi="Times New Roman" w:cs="Times New Roman"/>
          <w:b/>
          <w:noProof/>
        </w:rPr>
        <w:drawing>
          <wp:inline distT="0" distB="0" distL="0" distR="0" wp14:anchorId="2842551E" wp14:editId="13C82057">
            <wp:extent cx="4781550" cy="134302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9484D" w:rsidRPr="0099484D" w:rsidRDefault="0099484D" w:rsidP="0099484D">
      <w:pPr>
        <w:spacing w:after="0"/>
        <w:rPr>
          <w:rFonts w:ascii="Times New Roman" w:hAnsi="Times New Roman" w:cs="Times New Roman"/>
          <w:sz w:val="20"/>
          <w:szCs w:val="20"/>
        </w:rPr>
      </w:pPr>
      <w:r w:rsidRPr="0099484D">
        <w:rPr>
          <w:rFonts w:ascii="Times New Roman" w:hAnsi="Times New Roman" w:cs="Times New Roman"/>
          <w:sz w:val="20"/>
          <w:szCs w:val="20"/>
        </w:rPr>
        <w:t xml:space="preserve">Sursa: </w:t>
      </w:r>
      <w:hyperlink r:id="rId48" w:history="1">
        <w:r w:rsidRPr="0099484D">
          <w:rPr>
            <w:rStyle w:val="Hyperlink"/>
            <w:rFonts w:ascii="Times New Roman" w:hAnsi="Times New Roman" w:cs="Times New Roman"/>
            <w:sz w:val="20"/>
            <w:szCs w:val="20"/>
          </w:rPr>
          <w:t>https://insp.gov.ro/download/cnsisp/Fisiere-de-pe-site-CNSISP/mortalitatea_materna/Mortalitatea-materna-in-Romania-2021.pdf</w:t>
        </w:r>
      </w:hyperlink>
      <w:r>
        <w:rPr>
          <w:rFonts w:ascii="Times New Roman" w:hAnsi="Times New Roman" w:cs="Times New Roman"/>
          <w:sz w:val="20"/>
          <w:szCs w:val="20"/>
          <w:vertAlign w:val="superscript"/>
        </w:rPr>
        <w:t>20</w:t>
      </w:r>
      <w:r>
        <w:rPr>
          <w:rFonts w:ascii="Times New Roman" w:hAnsi="Times New Roman" w:cs="Times New Roman"/>
          <w:sz w:val="20"/>
          <w:szCs w:val="20"/>
        </w:rPr>
        <w:t>,</w:t>
      </w:r>
    </w:p>
    <w:p w:rsidR="002306FB" w:rsidRPr="0099484D" w:rsidRDefault="00131E62" w:rsidP="002306FB">
      <w:pPr>
        <w:spacing w:after="0"/>
        <w:rPr>
          <w:rFonts w:ascii="Times New Roman" w:hAnsi="Times New Roman" w:cs="Times New Roman"/>
          <w:color w:val="0000FF"/>
          <w:sz w:val="20"/>
          <w:szCs w:val="20"/>
          <w:u w:val="single"/>
        </w:rPr>
      </w:pPr>
      <w:hyperlink r:id="rId49" w:history="1">
        <w:r w:rsidR="002306FB" w:rsidRPr="0099484D">
          <w:rPr>
            <w:rFonts w:ascii="Times New Roman" w:hAnsi="Times New Roman" w:cs="Times New Roman"/>
            <w:color w:val="0000FF"/>
            <w:sz w:val="20"/>
            <w:szCs w:val="20"/>
            <w:u w:val="single"/>
          </w:rPr>
          <w:t>https://insp.gov.ro/download/cnsisp/Fisiere-de-pe-site-CNSISP/buletin_informativ_-_miscarea_naturala_a_populatiei/Buletin-informativ-Miscarea-naturala-a-populatiei-anul-2021-comparativ-cu-anul-2020.pdf</w:t>
        </w:r>
      </w:hyperlink>
      <w:r w:rsidR="0099484D">
        <w:rPr>
          <w:rStyle w:val="FootnoteReference"/>
          <w:rFonts w:ascii="Times New Roman" w:hAnsi="Times New Roman" w:cs="Times New Roman"/>
          <w:color w:val="0000FF"/>
          <w:sz w:val="20"/>
          <w:szCs w:val="20"/>
          <w:u w:val="single"/>
        </w:rPr>
        <w:footnoteReference w:id="21"/>
      </w:r>
    </w:p>
    <w:p w:rsidR="00DB6719" w:rsidRDefault="00FF4F2D" w:rsidP="002306FB">
      <w:pPr>
        <w:spacing w:after="0"/>
        <w:rPr>
          <w:rFonts w:ascii="Times New Roman" w:hAnsi="Times New Roman" w:cs="Times New Roman"/>
          <w:b/>
        </w:rPr>
      </w:pPr>
      <w:r>
        <w:rPr>
          <w:rFonts w:ascii="Times New Roman" w:hAnsi="Times New Roman" w:cs="Times New Roman"/>
          <w:b/>
        </w:rPr>
        <w:lastRenderedPageBreak/>
        <w:t xml:space="preserve">Mortalitatea </w:t>
      </w:r>
      <w:r w:rsidR="008643E2">
        <w:rPr>
          <w:rFonts w:ascii="Times New Roman" w:hAnsi="Times New Roman" w:cs="Times New Roman"/>
          <w:b/>
        </w:rPr>
        <w:t>infantile neonatală</w:t>
      </w:r>
    </w:p>
    <w:p w:rsidR="002306FB" w:rsidRPr="002306FB" w:rsidRDefault="002306FB" w:rsidP="002306FB">
      <w:pPr>
        <w:spacing w:after="0"/>
        <w:rPr>
          <w:rFonts w:ascii="Times New Roman" w:hAnsi="Times New Roman" w:cs="Times New Roman"/>
          <w:b/>
        </w:rPr>
      </w:pPr>
      <w:r w:rsidRPr="002306FB">
        <w:rPr>
          <w:rFonts w:ascii="Times New Roman" w:hAnsi="Times New Roman" w:cs="Times New Roman"/>
          <w:b/>
        </w:rPr>
        <w:t>Figura 2</w:t>
      </w:r>
      <w:r w:rsidR="00022FEA">
        <w:rPr>
          <w:rFonts w:ascii="Times New Roman" w:hAnsi="Times New Roman" w:cs="Times New Roman"/>
          <w:b/>
        </w:rPr>
        <w:t>0</w:t>
      </w:r>
      <w:r w:rsidRPr="002306FB">
        <w:rPr>
          <w:rFonts w:ascii="Times New Roman" w:hAnsi="Times New Roman" w:cs="Times New Roman"/>
          <w:b/>
        </w:rPr>
        <w:t>.  Mortalitatea neonatală precoce (0-6 zile) pe județe, România, 2021, ‰ născuți vii</w:t>
      </w:r>
    </w:p>
    <w:p w:rsidR="002306FB" w:rsidRDefault="002306FB" w:rsidP="0093465E">
      <w:pPr>
        <w:spacing w:after="0"/>
        <w:rPr>
          <w:rFonts w:ascii="Times New Roman" w:hAnsi="Times New Roman" w:cs="Times New Roman"/>
          <w:sz w:val="28"/>
          <w:szCs w:val="28"/>
        </w:rPr>
      </w:pPr>
      <w:r w:rsidRPr="00A71A1C">
        <w:rPr>
          <w:rFonts w:ascii="Times New Roman" w:hAnsi="Times New Roman" w:cs="Times New Roman"/>
          <w:b/>
          <w:noProof/>
          <w:color w:val="FF0000"/>
          <w:u w:val="single"/>
        </w:rPr>
        <w:drawing>
          <wp:inline distT="0" distB="0" distL="0" distR="0" wp14:anchorId="5E18C796" wp14:editId="77ADAA91">
            <wp:extent cx="5943600" cy="1533525"/>
            <wp:effectExtent l="0" t="0" r="19050" b="95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52872" w:rsidRPr="00F52872" w:rsidRDefault="00F52872" w:rsidP="002306FB">
      <w:pPr>
        <w:spacing w:after="0"/>
        <w:rPr>
          <w:rFonts w:ascii="Times New Roman" w:hAnsi="Times New Roman" w:cs="Times New Roman"/>
          <w:color w:val="0000FF"/>
          <w:sz w:val="20"/>
          <w:szCs w:val="20"/>
          <w:u w:val="single"/>
        </w:rPr>
      </w:pPr>
      <w:r w:rsidRPr="00F52872">
        <w:rPr>
          <w:rFonts w:ascii="Times New Roman" w:hAnsi="Times New Roman" w:cs="Times New Roman"/>
        </w:rPr>
        <w:t>Mortalitatea neonatală precoce (0-6 zile)</w:t>
      </w:r>
      <w:r>
        <w:rPr>
          <w:rFonts w:ascii="Times New Roman" w:hAnsi="Times New Roman" w:cs="Times New Roman"/>
        </w:rPr>
        <w:t xml:space="preserve"> are valoarea cea mai mare în județul Tulcea </w:t>
      </w:r>
      <w:r w:rsidRPr="00F52872">
        <w:rPr>
          <w:rFonts w:ascii="Times New Roman" w:hAnsi="Times New Roman" w:cs="Times New Roman"/>
        </w:rPr>
        <w:t>(</w:t>
      </w:r>
      <w:r>
        <w:rPr>
          <w:rFonts w:ascii="Times New Roman" w:hAnsi="Times New Roman" w:cs="Times New Roman"/>
        </w:rPr>
        <w:t>7.3</w:t>
      </w:r>
      <w:r w:rsidRPr="00F52872">
        <w:rPr>
          <w:rFonts w:ascii="Times New Roman" w:hAnsi="Times New Roman" w:cs="Times New Roman"/>
        </w:rPr>
        <w:t>‰ născuți vii)</w:t>
      </w:r>
      <w:r>
        <w:rPr>
          <w:rFonts w:ascii="Times New Roman" w:hAnsi="Times New Roman" w:cs="Times New Roman"/>
        </w:rPr>
        <w:t xml:space="preserve"> și cea mai mică în județul Teleorman </w:t>
      </w:r>
      <w:r w:rsidRPr="00F52872">
        <w:rPr>
          <w:rFonts w:ascii="Times New Roman" w:hAnsi="Times New Roman" w:cs="Times New Roman"/>
        </w:rPr>
        <w:t>(</w:t>
      </w:r>
      <w:r>
        <w:rPr>
          <w:rFonts w:ascii="Times New Roman" w:hAnsi="Times New Roman" w:cs="Times New Roman"/>
        </w:rPr>
        <w:t>0.4</w:t>
      </w:r>
      <w:r w:rsidRPr="00F52872">
        <w:rPr>
          <w:rFonts w:ascii="Times New Roman" w:hAnsi="Times New Roman" w:cs="Times New Roman"/>
        </w:rPr>
        <w:t>‰ născuți vii)</w:t>
      </w:r>
      <w:r>
        <w:rPr>
          <w:rFonts w:ascii="Times New Roman" w:hAnsi="Times New Roman" w:cs="Times New Roman"/>
        </w:rPr>
        <w:t xml:space="preserve">. </w:t>
      </w:r>
    </w:p>
    <w:p w:rsidR="002306FB" w:rsidRPr="002306FB" w:rsidRDefault="002306FB" w:rsidP="002306FB">
      <w:pPr>
        <w:spacing w:after="0"/>
        <w:rPr>
          <w:rFonts w:ascii="Times New Roman" w:hAnsi="Times New Roman" w:cs="Times New Roman"/>
          <w:b/>
        </w:rPr>
      </w:pPr>
      <w:r w:rsidRPr="002306FB">
        <w:rPr>
          <w:rFonts w:ascii="Times New Roman" w:hAnsi="Times New Roman" w:cs="Times New Roman"/>
          <w:b/>
        </w:rPr>
        <w:t>Figura 2</w:t>
      </w:r>
      <w:r w:rsidR="00022FEA">
        <w:rPr>
          <w:rFonts w:ascii="Times New Roman" w:hAnsi="Times New Roman" w:cs="Times New Roman"/>
          <w:b/>
        </w:rPr>
        <w:t>1</w:t>
      </w:r>
      <w:r w:rsidRPr="002306FB">
        <w:rPr>
          <w:rFonts w:ascii="Times New Roman" w:hAnsi="Times New Roman" w:cs="Times New Roman"/>
          <w:b/>
        </w:rPr>
        <w:t>.  Mortalitatea neonatală (0-27 zile) pe județe, România, 2021, ‰ născuți vii</w:t>
      </w:r>
    </w:p>
    <w:p w:rsidR="002306FB" w:rsidRPr="0099484D" w:rsidRDefault="002306FB" w:rsidP="002306FB">
      <w:pPr>
        <w:spacing w:after="0"/>
        <w:rPr>
          <w:rFonts w:ascii="Times New Roman" w:hAnsi="Times New Roman" w:cs="Times New Roman"/>
          <w:color w:val="0000FF"/>
          <w:sz w:val="20"/>
          <w:szCs w:val="20"/>
          <w:u w:val="single"/>
        </w:rPr>
      </w:pPr>
      <w:r w:rsidRPr="00A71A1C">
        <w:rPr>
          <w:rFonts w:ascii="Times New Roman" w:hAnsi="Times New Roman" w:cs="Times New Roman"/>
          <w:b/>
          <w:noProof/>
          <w:color w:val="FF0000"/>
          <w:u w:val="single"/>
        </w:rPr>
        <w:drawing>
          <wp:inline distT="0" distB="0" distL="0" distR="0" wp14:anchorId="0208CCEC" wp14:editId="26AA366E">
            <wp:extent cx="5943600" cy="1654115"/>
            <wp:effectExtent l="0" t="0" r="19050" b="228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2306FB">
        <w:rPr>
          <w:rFonts w:ascii="Times New Roman" w:hAnsi="Times New Roman" w:cs="Times New Roman"/>
          <w:sz w:val="20"/>
          <w:szCs w:val="20"/>
        </w:rPr>
        <w:t xml:space="preserve">Sursa: </w:t>
      </w:r>
      <w:hyperlink r:id="rId52" w:history="1">
        <w:r w:rsidRPr="002306FB">
          <w:rPr>
            <w:rFonts w:ascii="Times New Roman" w:hAnsi="Times New Roman" w:cs="Times New Roman"/>
            <w:color w:val="0000FF"/>
            <w:sz w:val="20"/>
            <w:szCs w:val="20"/>
            <w:u w:val="single"/>
          </w:rPr>
          <w:t>https://insp.gov.ro/download/cnsisp/Fisiere-de-pe-site-CNSISP/buletin_informativ_-_miscarea_naturala_a_populatiei/Buletin-informativ-Miscarea-naturala-a-populatiei-anul-2021-comparativ-cu-anul-2020.pdf</w:t>
        </w:r>
      </w:hyperlink>
      <w:r w:rsidR="0099484D">
        <w:rPr>
          <w:rFonts w:ascii="Times New Roman" w:hAnsi="Times New Roman" w:cs="Times New Roman"/>
          <w:color w:val="0000FF"/>
          <w:sz w:val="20"/>
          <w:szCs w:val="20"/>
          <w:u w:val="single"/>
          <w:vertAlign w:val="superscript"/>
        </w:rPr>
        <w:t>21</w:t>
      </w:r>
      <w:r w:rsidR="0099484D">
        <w:rPr>
          <w:rFonts w:ascii="Times New Roman" w:hAnsi="Times New Roman" w:cs="Times New Roman"/>
          <w:color w:val="0000FF"/>
          <w:sz w:val="20"/>
          <w:szCs w:val="20"/>
          <w:u w:val="single"/>
        </w:rPr>
        <w:t>,</w:t>
      </w:r>
    </w:p>
    <w:p w:rsidR="00F757FC" w:rsidRPr="002306FB" w:rsidRDefault="00131E62" w:rsidP="00F757FC">
      <w:pPr>
        <w:spacing w:after="0"/>
        <w:rPr>
          <w:rFonts w:ascii="Times New Roman" w:hAnsi="Times New Roman" w:cs="Times New Roman"/>
          <w:color w:val="0000FF"/>
          <w:sz w:val="20"/>
          <w:szCs w:val="20"/>
          <w:u w:val="single"/>
        </w:rPr>
      </w:pPr>
      <w:hyperlink r:id="rId53" w:history="1">
        <w:r w:rsidR="00F757FC" w:rsidRPr="002306FB">
          <w:rPr>
            <w:rFonts w:ascii="Times New Roman" w:hAnsi="Times New Roman" w:cs="Times New Roman"/>
            <w:color w:val="0000FF"/>
            <w:sz w:val="20"/>
            <w:szCs w:val="20"/>
            <w:u w:val="single"/>
          </w:rPr>
          <w:t>https://insp.gov.ro/download/cnsisp/Fisiere-de-pe-site-CNSISP/mortalitatea_perinatala/Mortalitatea-perinatala-2020.pdf</w:t>
        </w:r>
      </w:hyperlink>
      <w:r w:rsidR="0099484D">
        <w:rPr>
          <w:rStyle w:val="FootnoteReference"/>
          <w:rFonts w:ascii="Times New Roman" w:hAnsi="Times New Roman" w:cs="Times New Roman"/>
          <w:color w:val="0000FF"/>
          <w:sz w:val="20"/>
          <w:szCs w:val="20"/>
          <w:u w:val="single"/>
        </w:rPr>
        <w:footnoteReference w:id="22"/>
      </w:r>
    </w:p>
    <w:p w:rsidR="00F52872" w:rsidRPr="00F52872" w:rsidRDefault="00F52872" w:rsidP="00F52872">
      <w:pPr>
        <w:spacing w:after="0"/>
        <w:rPr>
          <w:rFonts w:ascii="Times New Roman" w:hAnsi="Times New Roman" w:cs="Times New Roman"/>
          <w:color w:val="0000FF"/>
          <w:sz w:val="20"/>
          <w:szCs w:val="20"/>
          <w:u w:val="single"/>
        </w:rPr>
      </w:pPr>
      <w:r w:rsidRPr="00F52872">
        <w:rPr>
          <w:rFonts w:ascii="Times New Roman" w:hAnsi="Times New Roman" w:cs="Times New Roman"/>
        </w:rPr>
        <w:t>Mortalitatea neonatală (0-</w:t>
      </w:r>
      <w:r>
        <w:rPr>
          <w:rFonts w:ascii="Times New Roman" w:hAnsi="Times New Roman" w:cs="Times New Roman"/>
        </w:rPr>
        <w:t>27</w:t>
      </w:r>
      <w:r w:rsidRPr="00F52872">
        <w:rPr>
          <w:rFonts w:ascii="Times New Roman" w:hAnsi="Times New Roman" w:cs="Times New Roman"/>
        </w:rPr>
        <w:t xml:space="preserve"> zile)</w:t>
      </w:r>
      <w:r>
        <w:rPr>
          <w:rFonts w:ascii="Times New Roman" w:hAnsi="Times New Roman" w:cs="Times New Roman"/>
        </w:rPr>
        <w:t xml:space="preserve"> are valoarea cea mai mare în județul Tulcea </w:t>
      </w:r>
      <w:r w:rsidRPr="00F52872">
        <w:rPr>
          <w:rFonts w:ascii="Times New Roman" w:hAnsi="Times New Roman" w:cs="Times New Roman"/>
        </w:rPr>
        <w:t>(</w:t>
      </w:r>
      <w:r>
        <w:rPr>
          <w:rFonts w:ascii="Times New Roman" w:hAnsi="Times New Roman" w:cs="Times New Roman"/>
        </w:rPr>
        <w:t>9.1</w:t>
      </w:r>
      <w:r w:rsidRPr="00F52872">
        <w:rPr>
          <w:rFonts w:ascii="Times New Roman" w:hAnsi="Times New Roman" w:cs="Times New Roman"/>
        </w:rPr>
        <w:t>‰ născuți vii)</w:t>
      </w:r>
      <w:r>
        <w:rPr>
          <w:rFonts w:ascii="Times New Roman" w:hAnsi="Times New Roman" w:cs="Times New Roman"/>
        </w:rPr>
        <w:t xml:space="preserve"> și cea mai mică în județul Teleorman </w:t>
      </w:r>
      <w:r w:rsidRPr="00F52872">
        <w:rPr>
          <w:rFonts w:ascii="Times New Roman" w:hAnsi="Times New Roman" w:cs="Times New Roman"/>
        </w:rPr>
        <w:t>(</w:t>
      </w:r>
      <w:r>
        <w:rPr>
          <w:rFonts w:ascii="Times New Roman" w:hAnsi="Times New Roman" w:cs="Times New Roman"/>
        </w:rPr>
        <w:t>0.9</w:t>
      </w:r>
      <w:r w:rsidRPr="00F52872">
        <w:rPr>
          <w:rFonts w:ascii="Times New Roman" w:hAnsi="Times New Roman" w:cs="Times New Roman"/>
        </w:rPr>
        <w:t>‰ născuți vii)</w:t>
      </w:r>
      <w:r>
        <w:rPr>
          <w:rFonts w:ascii="Times New Roman" w:hAnsi="Times New Roman" w:cs="Times New Roman"/>
        </w:rPr>
        <w:t xml:space="preserve">. </w:t>
      </w:r>
    </w:p>
    <w:p w:rsidR="002306FB" w:rsidRPr="002306FB" w:rsidRDefault="002306FB" w:rsidP="002306FB">
      <w:pPr>
        <w:spacing w:after="0"/>
        <w:rPr>
          <w:rFonts w:ascii="Times New Roman" w:hAnsi="Times New Roman" w:cs="Times New Roman"/>
          <w:b/>
          <w:sz w:val="20"/>
          <w:szCs w:val="20"/>
        </w:rPr>
      </w:pPr>
      <w:r w:rsidRPr="002306FB">
        <w:rPr>
          <w:rFonts w:ascii="Times New Roman" w:hAnsi="Times New Roman" w:cs="Times New Roman"/>
        </w:rPr>
        <w:t>Mortalitatea neonatală precoce a scăzut cu 1,1‰ născuți vii în 2020, comparativ cu anul 2011.  Pe medii, în urban a scăzut cu 1‰ în aceeași perioadă, iar în mediul rural, a scăzut cu 1,5‰. La sexul masculin a scăzut cu 1,8‰, iar la sexul feminin, cu 0.6‰.</w:t>
      </w:r>
    </w:p>
    <w:p w:rsidR="00F757FC" w:rsidRPr="002306FB" w:rsidRDefault="00F757FC" w:rsidP="00F757FC">
      <w:pPr>
        <w:spacing w:after="0"/>
        <w:rPr>
          <w:rFonts w:ascii="Times New Roman" w:hAnsi="Times New Roman" w:cs="Times New Roman"/>
          <w:b/>
          <w:sz w:val="20"/>
          <w:szCs w:val="20"/>
        </w:rPr>
      </w:pPr>
      <w:r w:rsidRPr="002306FB">
        <w:rPr>
          <w:rFonts w:ascii="Times New Roman" w:hAnsi="Times New Roman" w:cs="Times New Roman"/>
          <w:b/>
          <w:sz w:val="20"/>
          <w:szCs w:val="20"/>
        </w:rPr>
        <w:t xml:space="preserve">Tabelul </w:t>
      </w:r>
      <w:r w:rsidR="00FB0095">
        <w:rPr>
          <w:rFonts w:ascii="Times New Roman" w:hAnsi="Times New Roman" w:cs="Times New Roman"/>
          <w:b/>
          <w:sz w:val="20"/>
          <w:szCs w:val="20"/>
        </w:rPr>
        <w:t>8</w:t>
      </w:r>
      <w:r w:rsidRPr="002306FB">
        <w:rPr>
          <w:rFonts w:ascii="Times New Roman" w:hAnsi="Times New Roman" w:cs="Times New Roman"/>
          <w:b/>
          <w:sz w:val="20"/>
          <w:szCs w:val="20"/>
        </w:rPr>
        <w:t xml:space="preserve">. Mortalitatea neonatală precoce, în România, în perioada 2011-2020 </w:t>
      </w:r>
      <w:r w:rsidRPr="002306FB">
        <w:rPr>
          <w:rFonts w:ascii="Times New Roman" w:eastAsia="Cambria" w:hAnsi="Times New Roman" w:cs="Times New Roman"/>
          <w:b/>
          <w:sz w:val="20"/>
          <w:szCs w:val="20"/>
          <w:shd w:val="clear" w:color="auto" w:fill="EAF1DD"/>
        </w:rPr>
        <w:t>(‰ născuți vii)</w:t>
      </w:r>
    </w:p>
    <w:tbl>
      <w:tblPr>
        <w:tblStyle w:val="TableGrid"/>
        <w:tblW w:w="0" w:type="auto"/>
        <w:tblLook w:val="04A0" w:firstRow="1" w:lastRow="0" w:firstColumn="1" w:lastColumn="0" w:noHBand="0" w:noVBand="1"/>
      </w:tblPr>
      <w:tblGrid>
        <w:gridCol w:w="1006"/>
        <w:gridCol w:w="857"/>
        <w:gridCol w:w="857"/>
        <w:gridCol w:w="857"/>
        <w:gridCol w:w="857"/>
        <w:gridCol w:w="857"/>
        <w:gridCol w:w="857"/>
        <w:gridCol w:w="857"/>
        <w:gridCol w:w="857"/>
        <w:gridCol w:w="857"/>
        <w:gridCol w:w="857"/>
      </w:tblGrid>
      <w:tr w:rsidR="000947D8" w:rsidTr="00F757FC">
        <w:tc>
          <w:tcPr>
            <w:tcW w:w="1006" w:type="dxa"/>
            <w:vMerge w:val="restart"/>
          </w:tcPr>
          <w:p w:rsidR="000947D8" w:rsidRPr="000947D8" w:rsidRDefault="000947D8" w:rsidP="000947D8">
            <w:pPr>
              <w:rPr>
                <w:rFonts w:ascii="Times New Roman" w:eastAsia="Times New Roman" w:hAnsi="Times New Roman" w:cs="Times New Roman"/>
                <w:b/>
                <w:sz w:val="20"/>
                <w:szCs w:val="20"/>
              </w:rPr>
            </w:pPr>
          </w:p>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Total</w:t>
            </w:r>
          </w:p>
        </w:tc>
        <w:tc>
          <w:tcPr>
            <w:tcW w:w="8570" w:type="dxa"/>
            <w:gridSpan w:val="10"/>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Ani</w:t>
            </w:r>
          </w:p>
        </w:tc>
      </w:tr>
      <w:tr w:rsidR="000947D8" w:rsidTr="00F757FC">
        <w:tc>
          <w:tcPr>
            <w:tcW w:w="1006" w:type="dxa"/>
            <w:vMerge/>
          </w:tcPr>
          <w:p w:rsidR="000947D8" w:rsidRPr="000947D8" w:rsidRDefault="000947D8" w:rsidP="000947D8">
            <w:pPr>
              <w:rPr>
                <w:rFonts w:ascii="Times New Roman" w:eastAsia="Times New Roman" w:hAnsi="Times New Roman" w:cs="Times New Roman"/>
                <w:b/>
                <w:sz w:val="20"/>
                <w:szCs w:val="20"/>
              </w:rPr>
            </w:pP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2011</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2012</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2014</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2015</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2016</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2017</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2018</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2019</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2020</w:t>
            </w:r>
          </w:p>
        </w:tc>
      </w:tr>
      <w:tr w:rsidR="000947D8" w:rsidTr="00F757FC">
        <w:tc>
          <w:tcPr>
            <w:tcW w:w="1006" w:type="dxa"/>
            <w:vMerge/>
          </w:tcPr>
          <w:p w:rsidR="000947D8" w:rsidRPr="000947D8" w:rsidRDefault="000947D8" w:rsidP="000947D8">
            <w:pPr>
              <w:rPr>
                <w:rFonts w:ascii="Times New Roman" w:eastAsia="Times New Roman" w:hAnsi="Times New Roman" w:cs="Times New Roman"/>
                <w:b/>
                <w:sz w:val="20"/>
                <w:szCs w:val="20"/>
              </w:rPr>
            </w:pP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3.5</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3.2</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3.3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3.2</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2.9</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2.5</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2.4</w:t>
            </w:r>
          </w:p>
        </w:tc>
      </w:tr>
      <w:tr w:rsidR="000947D8" w:rsidTr="00F757FC">
        <w:tc>
          <w:tcPr>
            <w:tcW w:w="1006" w:type="dxa"/>
          </w:tcPr>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Urban</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0947D8" w:rsidTr="00F757FC">
        <w:tc>
          <w:tcPr>
            <w:tcW w:w="1006" w:type="dxa"/>
          </w:tcPr>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Rural</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0947D8" w:rsidTr="00F757FC">
        <w:tc>
          <w:tcPr>
            <w:tcW w:w="1006" w:type="dxa"/>
          </w:tcPr>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Masculin</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0947D8" w:rsidTr="00F757FC">
        <w:tc>
          <w:tcPr>
            <w:tcW w:w="1006" w:type="dxa"/>
          </w:tcPr>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Feminin</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bl>
    <w:p w:rsidR="00E22AAF" w:rsidRPr="002306FB" w:rsidRDefault="00E22AAF" w:rsidP="00E22AAF">
      <w:pPr>
        <w:spacing w:after="0"/>
        <w:rPr>
          <w:rFonts w:ascii="Times New Roman" w:hAnsi="Times New Roman" w:cs="Times New Roman"/>
          <w:color w:val="0000FF"/>
          <w:sz w:val="20"/>
          <w:szCs w:val="20"/>
          <w:u w:val="single"/>
        </w:rPr>
      </w:pPr>
      <w:r w:rsidRPr="002306FB">
        <w:rPr>
          <w:rFonts w:ascii="Times New Roman" w:hAnsi="Times New Roman" w:cs="Times New Roman"/>
          <w:sz w:val="20"/>
          <w:szCs w:val="20"/>
        </w:rPr>
        <w:t>Sursa:</w:t>
      </w:r>
      <w:r w:rsidRPr="00E22AAF">
        <w:t xml:space="preserve"> </w:t>
      </w:r>
      <w:hyperlink r:id="rId54" w:history="1">
        <w:r w:rsidRPr="002306FB">
          <w:rPr>
            <w:rFonts w:ascii="Times New Roman" w:hAnsi="Times New Roman" w:cs="Times New Roman"/>
            <w:color w:val="0000FF"/>
            <w:sz w:val="20"/>
            <w:szCs w:val="20"/>
            <w:u w:val="single"/>
          </w:rPr>
          <w:t>https://insp.gov.ro/download/cnsisp/Fisiere-de-pe-site-CNSISP/mortalitatea_perinatala/Mortalitatea-perinatala-2020.pdf</w:t>
        </w:r>
      </w:hyperlink>
      <w:r>
        <w:rPr>
          <w:rStyle w:val="FootnoteReference"/>
          <w:rFonts w:ascii="Times New Roman" w:hAnsi="Times New Roman" w:cs="Times New Roman"/>
          <w:color w:val="0000FF"/>
          <w:sz w:val="20"/>
          <w:szCs w:val="20"/>
          <w:u w:val="single"/>
        </w:rPr>
        <w:footnoteReference w:id="23"/>
      </w:r>
    </w:p>
    <w:p w:rsidR="009265B7" w:rsidRPr="00FF4F2D" w:rsidRDefault="00FF4F2D" w:rsidP="002306FB">
      <w:pPr>
        <w:spacing w:after="0"/>
        <w:ind w:firstLine="720"/>
        <w:rPr>
          <w:rFonts w:ascii="Times New Roman" w:eastAsia="Times New Roman" w:hAnsi="Times New Roman" w:cs="Times New Roman"/>
        </w:rPr>
      </w:pPr>
      <w:r w:rsidRPr="00FF4F2D">
        <w:rPr>
          <w:rFonts w:ascii="Times New Roman" w:eastAsia="Times New Roman" w:hAnsi="Times New Roman" w:cs="Times New Roman"/>
        </w:rPr>
        <w:lastRenderedPageBreak/>
        <w:t xml:space="preserve">Comparativ cu anul 2011, </w:t>
      </w:r>
      <w:r w:rsidR="00F757FC" w:rsidRPr="002306FB">
        <w:rPr>
          <w:rFonts w:ascii="Times New Roman" w:hAnsi="Times New Roman" w:cs="Times New Roman"/>
          <w:b/>
          <w:sz w:val="20"/>
          <w:szCs w:val="20"/>
        </w:rPr>
        <w:t>Mortalitatea neonatală precoce</w:t>
      </w:r>
      <w:r w:rsidR="00F757FC" w:rsidRPr="00FF4F2D">
        <w:rPr>
          <w:rFonts w:ascii="Times New Roman" w:eastAsia="Times New Roman" w:hAnsi="Times New Roman" w:cs="Times New Roman"/>
        </w:rPr>
        <w:t xml:space="preserve"> </w:t>
      </w:r>
      <w:r w:rsidRPr="00FF4F2D">
        <w:rPr>
          <w:rFonts w:ascii="Times New Roman" w:eastAsia="Times New Roman" w:hAnsi="Times New Roman" w:cs="Times New Roman"/>
        </w:rPr>
        <w:t xml:space="preserve">a scăzut în 2020 cu 31,4%, în urban cu </w:t>
      </w:r>
      <w:r w:rsidR="00F12891">
        <w:rPr>
          <w:rFonts w:ascii="Times New Roman" w:eastAsia="Times New Roman" w:hAnsi="Times New Roman" w:cs="Times New Roman"/>
        </w:rPr>
        <w:t>33</w:t>
      </w:r>
      <w:r w:rsidRPr="00FF4F2D">
        <w:rPr>
          <w:rFonts w:ascii="Times New Roman" w:eastAsia="Times New Roman" w:hAnsi="Times New Roman" w:cs="Times New Roman"/>
        </w:rPr>
        <w:t>% iar în rural cu 37%.</w:t>
      </w:r>
    </w:p>
    <w:p w:rsidR="009265B7" w:rsidRPr="00F757FC" w:rsidRDefault="009265B7" w:rsidP="009265B7">
      <w:pPr>
        <w:spacing w:after="0"/>
        <w:rPr>
          <w:rFonts w:ascii="Times New Roman" w:hAnsi="Times New Roman" w:cs="Times New Roman"/>
          <w:b/>
          <w:sz w:val="28"/>
          <w:szCs w:val="28"/>
          <w:u w:val="single"/>
        </w:rPr>
      </w:pPr>
      <w:r w:rsidRPr="00F757FC">
        <w:rPr>
          <w:rFonts w:ascii="Times New Roman" w:hAnsi="Times New Roman" w:cs="Times New Roman"/>
          <w:b/>
          <w:sz w:val="28"/>
          <w:szCs w:val="28"/>
          <w:u w:val="single"/>
        </w:rPr>
        <w:t>Infec</w:t>
      </w:r>
      <w:r w:rsidR="000A0487">
        <w:rPr>
          <w:rFonts w:ascii="Times New Roman" w:hAnsi="Times New Roman" w:cs="Times New Roman"/>
          <w:b/>
          <w:sz w:val="28"/>
          <w:szCs w:val="28"/>
          <w:u w:val="single"/>
        </w:rPr>
        <w:t>ț</w:t>
      </w:r>
      <w:r w:rsidRPr="00F757FC">
        <w:rPr>
          <w:rFonts w:ascii="Times New Roman" w:hAnsi="Times New Roman" w:cs="Times New Roman"/>
          <w:b/>
          <w:sz w:val="28"/>
          <w:szCs w:val="28"/>
          <w:u w:val="single"/>
        </w:rPr>
        <w:t>ii cu transmitere sexual</w:t>
      </w:r>
      <w:r w:rsidR="000A0487">
        <w:rPr>
          <w:rFonts w:ascii="Times New Roman" w:hAnsi="Times New Roman" w:cs="Times New Roman"/>
          <w:b/>
          <w:sz w:val="28"/>
          <w:szCs w:val="28"/>
          <w:u w:val="single"/>
        </w:rPr>
        <w:t>ă</w:t>
      </w:r>
    </w:p>
    <w:p w:rsidR="007C1A73" w:rsidRPr="007C1A73" w:rsidRDefault="007C1A73" w:rsidP="007C1A73">
      <w:pPr>
        <w:spacing w:after="0"/>
        <w:ind w:firstLine="720"/>
        <w:rPr>
          <w:rFonts w:ascii="Times New Roman" w:eastAsia="Times New Roman" w:hAnsi="Times New Roman" w:cs="Times New Roman"/>
          <w:b/>
          <w:color w:val="FF0000"/>
          <w:lang w:val="fr-FR"/>
        </w:rPr>
      </w:pPr>
      <w:r w:rsidRPr="007C1A73">
        <w:rPr>
          <w:rFonts w:ascii="Times New Roman" w:eastAsia="Times New Roman" w:hAnsi="Times New Roman" w:cs="Times New Roman"/>
          <w:b/>
          <w:color w:val="FF0000"/>
          <w:lang w:val="fr-FR"/>
        </w:rPr>
        <w:t>HIV/SIDA</w:t>
      </w:r>
    </w:p>
    <w:p w:rsidR="007C1A73" w:rsidRPr="007C1A73" w:rsidRDefault="007C1A73" w:rsidP="007C1A73">
      <w:pPr>
        <w:spacing w:after="0"/>
        <w:ind w:firstLine="720"/>
        <w:jc w:val="both"/>
        <w:rPr>
          <w:rFonts w:ascii="Times New Roman" w:eastAsiaTheme="minorEastAsia" w:hAnsi="Times New Roman" w:cs="Times New Roman"/>
          <w:b/>
          <w:lang w:val="ro-RO" w:eastAsia="ro-RO"/>
        </w:rPr>
      </w:pPr>
      <w:r w:rsidRPr="007C1A73">
        <w:rPr>
          <w:rFonts w:ascii="Times New Roman" w:eastAsiaTheme="minorEastAsia" w:hAnsi="Times New Roman" w:cs="Times New Roman"/>
          <w:b/>
          <w:lang w:val="ro-RO" w:eastAsia="ro-RO"/>
        </w:rPr>
        <w:t>EUROPA</w:t>
      </w:r>
    </w:p>
    <w:p w:rsidR="00D36B6B" w:rsidRDefault="007C1A73" w:rsidP="00D36B6B">
      <w:pPr>
        <w:spacing w:after="0"/>
        <w:jc w:val="both"/>
        <w:rPr>
          <w:rFonts w:ascii="Times New Roman" w:eastAsia="Times New Roman" w:hAnsi="Times New Roman" w:cs="Times New Roman"/>
        </w:rPr>
      </w:pPr>
      <w:r w:rsidRPr="007C1A73">
        <w:rPr>
          <w:rFonts w:ascii="Times New Roman" w:eastAsia="Times New Roman" w:hAnsi="Times New Roman" w:cs="Times New Roman"/>
        </w:rPr>
        <w:t>În UE, incidența HIV la ‰oo locuitori a scăzut de la 6.1 în 2011, la 3.3 în 2020 cu aprox. 46%. În 2011, incidența HIV în România reprezenta 68.8% din valoarea UE, iar în 2020, a reprezentat 69.9% din valoarea UE. Proporția maximă a fost înregistrată în 2013, când incidența HIV în România a fost 82.2% din valoarea UE.</w:t>
      </w:r>
      <w:r w:rsidR="00D36B6B">
        <w:rPr>
          <w:rStyle w:val="FootnoteReference"/>
          <w:rFonts w:ascii="Times New Roman" w:eastAsia="Times New Roman" w:hAnsi="Times New Roman" w:cs="Times New Roman"/>
        </w:rPr>
        <w:footnoteReference w:id="24"/>
      </w:r>
    </w:p>
    <w:p w:rsidR="007C1A73" w:rsidRPr="007C1A73" w:rsidRDefault="007C1A73" w:rsidP="007C1A73">
      <w:pPr>
        <w:shd w:val="clear" w:color="auto" w:fill="FCFCFC"/>
        <w:spacing w:after="0"/>
        <w:rPr>
          <w:rFonts w:ascii="Times New Roman" w:eastAsia="Times New Roman" w:hAnsi="Times New Roman" w:cs="Times New Roman"/>
          <w:b/>
        </w:rPr>
      </w:pPr>
      <w:r w:rsidRPr="007C1A73">
        <w:rPr>
          <w:rFonts w:ascii="Times New Roman" w:eastAsia="Times New Roman" w:hAnsi="Times New Roman" w:cs="Times New Roman"/>
          <w:b/>
        </w:rPr>
        <w:t xml:space="preserve">Figura </w:t>
      </w:r>
      <w:r w:rsidR="00FB0095">
        <w:rPr>
          <w:rFonts w:ascii="Times New Roman" w:eastAsia="Times New Roman" w:hAnsi="Times New Roman" w:cs="Times New Roman"/>
          <w:b/>
        </w:rPr>
        <w:t>2</w:t>
      </w:r>
      <w:r w:rsidR="00022FEA">
        <w:rPr>
          <w:rFonts w:ascii="Times New Roman" w:eastAsia="Times New Roman" w:hAnsi="Times New Roman" w:cs="Times New Roman"/>
          <w:b/>
        </w:rPr>
        <w:t>2</w:t>
      </w:r>
      <w:r w:rsidRPr="007C1A73">
        <w:rPr>
          <w:rFonts w:ascii="Times New Roman" w:eastAsia="Times New Roman" w:hAnsi="Times New Roman" w:cs="Times New Roman"/>
          <w:b/>
        </w:rPr>
        <w:t>. Incidența HIV în UE, în perioada 2011-2020 (‰oo locuitori)</w:t>
      </w:r>
    </w:p>
    <w:p w:rsidR="007C1A73" w:rsidRPr="00FF4F2D" w:rsidRDefault="007C1A73" w:rsidP="009265B7">
      <w:pPr>
        <w:spacing w:after="0"/>
        <w:rPr>
          <w:rFonts w:ascii="Times New Roman" w:hAnsi="Times New Roman" w:cs="Times New Roman"/>
          <w:sz w:val="28"/>
          <w:szCs w:val="28"/>
        </w:rPr>
      </w:pPr>
      <w:r w:rsidRPr="0030759B">
        <w:rPr>
          <w:b/>
          <w:noProof/>
          <w:color w:val="FF0000"/>
        </w:rPr>
        <w:drawing>
          <wp:inline distT="0" distB="0" distL="0" distR="0" wp14:anchorId="2FC0BA6D" wp14:editId="0FBCA3FE">
            <wp:extent cx="5905500" cy="44958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52872" w:rsidRPr="00D36B6B" w:rsidRDefault="00F52872" w:rsidP="00F52872">
      <w:pPr>
        <w:spacing w:after="0"/>
        <w:jc w:val="both"/>
        <w:rPr>
          <w:rFonts w:ascii="Times New Roman" w:eastAsiaTheme="minorEastAsia" w:hAnsi="Times New Roman" w:cs="Times New Roman"/>
          <w:color w:val="FF0000"/>
          <w:sz w:val="20"/>
          <w:szCs w:val="20"/>
          <w:vertAlign w:val="superscript"/>
          <w:lang w:val="ro-RO" w:eastAsia="ro-RO"/>
        </w:rPr>
      </w:pPr>
      <w:r w:rsidRPr="00BF227C">
        <w:rPr>
          <w:rFonts w:ascii="Times New Roman" w:eastAsiaTheme="minorEastAsia" w:hAnsi="Times New Roman" w:cs="Times New Roman"/>
          <w:b/>
          <w:sz w:val="20"/>
          <w:szCs w:val="20"/>
          <w:lang w:val="ro-RO" w:eastAsia="ro-RO"/>
        </w:rPr>
        <w:t xml:space="preserve">     Sursa</w:t>
      </w:r>
      <w:r w:rsidRPr="00BF227C">
        <w:rPr>
          <w:rFonts w:ascii="Times New Roman" w:eastAsiaTheme="minorEastAsia" w:hAnsi="Times New Roman" w:cs="Times New Roman"/>
          <w:b/>
          <w:color w:val="FF0000"/>
          <w:sz w:val="20"/>
          <w:szCs w:val="20"/>
          <w:lang w:val="ro-RO" w:eastAsia="ro-RO"/>
        </w:rPr>
        <w:t xml:space="preserve">: </w:t>
      </w:r>
      <w:hyperlink r:id="rId56" w:history="1">
        <w:r w:rsidRPr="00BF227C">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r w:rsidR="00D36B6B">
        <w:rPr>
          <w:rFonts w:ascii="Times New Roman" w:eastAsiaTheme="minorEastAsia" w:hAnsi="Times New Roman" w:cs="Times New Roman"/>
          <w:color w:val="0000FF"/>
          <w:sz w:val="20"/>
          <w:szCs w:val="20"/>
          <w:u w:val="single"/>
          <w:vertAlign w:val="superscript"/>
          <w:lang w:val="ro-RO" w:eastAsia="ro-RO"/>
        </w:rPr>
        <w:t>24</w:t>
      </w:r>
    </w:p>
    <w:p w:rsidR="00BF227C" w:rsidRPr="00BF227C" w:rsidRDefault="00BF227C" w:rsidP="00BF227C">
      <w:pPr>
        <w:shd w:val="clear" w:color="auto" w:fill="FCFCFC"/>
        <w:spacing w:after="0"/>
        <w:rPr>
          <w:rFonts w:ascii="Times New Roman" w:eastAsiaTheme="minorEastAsia" w:hAnsi="Times New Roman" w:cs="Times New Roman"/>
          <w:b/>
          <w:color w:val="FF0000"/>
          <w:lang w:val="ro-RO" w:eastAsia="ro-RO"/>
        </w:rPr>
      </w:pPr>
      <w:r w:rsidRPr="00BF227C">
        <w:rPr>
          <w:rFonts w:ascii="Times New Roman" w:eastAsia="Times New Roman" w:hAnsi="Times New Roman" w:cs="Times New Roman"/>
        </w:rPr>
        <w:t xml:space="preserve">În </w:t>
      </w:r>
      <w:r w:rsidRPr="00BF227C">
        <w:rPr>
          <w:rFonts w:ascii="Times New Roman" w:eastAsia="Times New Roman" w:hAnsi="Times New Roman" w:cs="Times New Roman"/>
          <w:b/>
        </w:rPr>
        <w:t>România</w:t>
      </w:r>
      <w:r w:rsidRPr="00BF227C">
        <w:rPr>
          <w:rFonts w:ascii="Times New Roman" w:eastAsia="Times New Roman" w:hAnsi="Times New Roman" w:cs="Times New Roman"/>
        </w:rPr>
        <w:t>, în 2020, rata a fost de 2.3 la ‰oo locuitori cazuri noi, față de 3.3 la ‰oo locuitori în UE (2,98% din cazurile UE). Incidența HIV a scăzut în 2020 cu aproximativ 45% față de 2011.</w:t>
      </w:r>
    </w:p>
    <w:p w:rsidR="00BF227C" w:rsidRPr="00BF227C" w:rsidRDefault="00BF227C" w:rsidP="00BF227C">
      <w:pPr>
        <w:shd w:val="clear" w:color="auto" w:fill="FCFCFC"/>
        <w:spacing w:after="0"/>
        <w:rPr>
          <w:rFonts w:ascii="Times New Roman" w:eastAsiaTheme="minorEastAsia" w:hAnsi="Times New Roman" w:cs="Times New Roman"/>
          <w:b/>
          <w:lang w:val="ro-RO" w:eastAsia="ro-RO"/>
        </w:rPr>
      </w:pPr>
      <w:r w:rsidRPr="00BF227C">
        <w:rPr>
          <w:rFonts w:ascii="Times New Roman" w:eastAsiaTheme="minorEastAsia" w:hAnsi="Times New Roman" w:cs="Times New Roman"/>
          <w:b/>
          <w:lang w:val="ro-RO" w:eastAsia="ro-RO"/>
        </w:rPr>
        <w:t xml:space="preserve">Figura </w:t>
      </w:r>
      <w:r w:rsidR="00FB0095">
        <w:rPr>
          <w:rFonts w:ascii="Times New Roman" w:eastAsiaTheme="minorEastAsia" w:hAnsi="Times New Roman" w:cs="Times New Roman"/>
          <w:b/>
          <w:lang w:val="ro-RO" w:eastAsia="ro-RO"/>
        </w:rPr>
        <w:t>2</w:t>
      </w:r>
      <w:r w:rsidR="00022FEA">
        <w:rPr>
          <w:rFonts w:ascii="Times New Roman" w:eastAsiaTheme="minorEastAsia" w:hAnsi="Times New Roman" w:cs="Times New Roman"/>
          <w:b/>
          <w:lang w:val="ro-RO" w:eastAsia="ro-RO"/>
        </w:rPr>
        <w:t>3</w:t>
      </w:r>
      <w:r w:rsidRPr="00BF227C">
        <w:rPr>
          <w:rFonts w:ascii="Times New Roman" w:eastAsiaTheme="minorEastAsia" w:hAnsi="Times New Roman" w:cs="Times New Roman"/>
          <w:b/>
          <w:lang w:val="ro-RO" w:eastAsia="ro-RO"/>
        </w:rPr>
        <w:t>.  Cazuri noi de HIV diagnosticate în România vs. UE/SEE, 2011-2020 ( %ooo)</w:t>
      </w:r>
    </w:p>
    <w:p w:rsidR="00BF227C" w:rsidRPr="00BF227C" w:rsidRDefault="00BF227C" w:rsidP="00BF227C">
      <w:pPr>
        <w:shd w:val="clear" w:color="auto" w:fill="FCFCFC"/>
        <w:spacing w:after="0"/>
        <w:rPr>
          <w:rFonts w:ascii="Times New Roman" w:eastAsiaTheme="minorEastAsia" w:hAnsi="Times New Roman" w:cs="Times New Roman"/>
          <w:b/>
          <w:color w:val="FF0000"/>
          <w:lang w:val="ro-RO" w:eastAsia="ro-RO"/>
        </w:rPr>
      </w:pPr>
      <w:r w:rsidRPr="00BF227C">
        <w:rPr>
          <w:rFonts w:ascii="Times New Roman" w:eastAsiaTheme="minorEastAsia" w:hAnsi="Times New Roman" w:cs="Times New Roman"/>
          <w:b/>
          <w:color w:val="FF0000"/>
          <w:lang w:val="ro-RO" w:eastAsia="ro-RO"/>
        </w:rPr>
        <w:lastRenderedPageBreak/>
        <w:t xml:space="preserve">      </w:t>
      </w:r>
      <w:r w:rsidRPr="00BF227C">
        <w:rPr>
          <w:rFonts w:ascii="Times New Roman" w:eastAsiaTheme="minorEastAsia" w:hAnsi="Times New Roman" w:cs="Times New Roman"/>
          <w:b/>
          <w:noProof/>
          <w:color w:val="FF0000"/>
        </w:rPr>
        <w:drawing>
          <wp:inline distT="0" distB="0" distL="0" distR="0" wp14:anchorId="7ABFF0B8" wp14:editId="3082C465">
            <wp:extent cx="5486400" cy="11906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F227C" w:rsidRPr="00D36B6B" w:rsidRDefault="00BF227C" w:rsidP="00BF227C">
      <w:pPr>
        <w:spacing w:after="0"/>
        <w:jc w:val="both"/>
        <w:rPr>
          <w:rFonts w:ascii="Times New Roman" w:eastAsiaTheme="minorEastAsia" w:hAnsi="Times New Roman" w:cs="Times New Roman"/>
          <w:color w:val="FF0000"/>
          <w:sz w:val="20"/>
          <w:szCs w:val="20"/>
          <w:vertAlign w:val="superscript"/>
          <w:lang w:val="ro-RO" w:eastAsia="ro-RO"/>
        </w:rPr>
      </w:pPr>
      <w:r w:rsidRPr="00BF227C">
        <w:rPr>
          <w:rFonts w:ascii="Times New Roman" w:eastAsiaTheme="minorEastAsia" w:hAnsi="Times New Roman" w:cs="Times New Roman"/>
          <w:b/>
          <w:sz w:val="20"/>
          <w:szCs w:val="20"/>
          <w:lang w:val="ro-RO" w:eastAsia="ro-RO"/>
        </w:rPr>
        <w:t xml:space="preserve">     Sursa</w:t>
      </w:r>
      <w:r w:rsidRPr="00BF227C">
        <w:rPr>
          <w:rFonts w:ascii="Times New Roman" w:eastAsiaTheme="minorEastAsia" w:hAnsi="Times New Roman" w:cs="Times New Roman"/>
          <w:b/>
          <w:color w:val="FF0000"/>
          <w:sz w:val="20"/>
          <w:szCs w:val="20"/>
          <w:lang w:val="ro-RO" w:eastAsia="ro-RO"/>
        </w:rPr>
        <w:t xml:space="preserve">: </w:t>
      </w:r>
      <w:hyperlink r:id="rId58" w:history="1">
        <w:r w:rsidRPr="00BF227C">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r w:rsidR="00D36B6B">
        <w:rPr>
          <w:rFonts w:ascii="Times New Roman" w:eastAsiaTheme="minorEastAsia" w:hAnsi="Times New Roman" w:cs="Times New Roman"/>
          <w:color w:val="0000FF"/>
          <w:sz w:val="20"/>
          <w:szCs w:val="20"/>
          <w:u w:val="single"/>
          <w:vertAlign w:val="superscript"/>
          <w:lang w:val="ro-RO" w:eastAsia="ro-RO"/>
        </w:rPr>
        <w:t>24</w:t>
      </w:r>
    </w:p>
    <w:p w:rsidR="00BF227C" w:rsidRPr="00BF227C" w:rsidRDefault="00BF227C" w:rsidP="00BF227C">
      <w:pPr>
        <w:shd w:val="clear" w:color="auto" w:fill="FCFCFC"/>
        <w:spacing w:after="0" w:line="240" w:lineRule="auto"/>
        <w:rPr>
          <w:rFonts w:ascii="Times New Roman" w:eastAsia="Times New Roman" w:hAnsi="Times New Roman" w:cs="Times New Roman"/>
          <w:sz w:val="24"/>
          <w:szCs w:val="24"/>
        </w:rPr>
      </w:pPr>
      <w:r w:rsidRPr="00BF227C">
        <w:rPr>
          <w:rFonts w:ascii="Times New Roman" w:eastAsia="Times New Roman" w:hAnsi="Times New Roman" w:cs="Times New Roman"/>
        </w:rPr>
        <w:t>În UE, ponderea cazurilor de HIV prin transmitere materno-fetală a scăzut de la 0.80% în 2011, la 0.61% în 2020, cu aprox. 24%.</w:t>
      </w:r>
    </w:p>
    <w:p w:rsidR="00BF227C" w:rsidRPr="00BF227C" w:rsidRDefault="00BF227C" w:rsidP="00BF227C">
      <w:pPr>
        <w:shd w:val="clear" w:color="auto" w:fill="FCFCFC"/>
        <w:spacing w:after="0"/>
        <w:rPr>
          <w:rFonts w:ascii="Times New Roman" w:eastAsiaTheme="minorEastAsia" w:hAnsi="Times New Roman" w:cs="Times New Roman"/>
          <w:b/>
          <w:bCs/>
          <w:lang w:val="fr-FR" w:eastAsia="ro-RO"/>
        </w:rPr>
      </w:pPr>
      <w:r w:rsidRPr="00BF227C">
        <w:rPr>
          <w:rFonts w:ascii="Times New Roman" w:eastAsia="Times New Roman" w:hAnsi="Times New Roman" w:cs="Times New Roman"/>
          <w:b/>
        </w:rPr>
        <w:t xml:space="preserve">Figura </w:t>
      </w:r>
      <w:r w:rsidR="00FB0095">
        <w:rPr>
          <w:rFonts w:ascii="Times New Roman" w:eastAsia="Times New Roman" w:hAnsi="Times New Roman" w:cs="Times New Roman"/>
          <w:b/>
        </w:rPr>
        <w:t>2</w:t>
      </w:r>
      <w:r w:rsidR="00022FEA">
        <w:rPr>
          <w:rFonts w:ascii="Times New Roman" w:eastAsia="Times New Roman" w:hAnsi="Times New Roman" w:cs="Times New Roman"/>
          <w:b/>
        </w:rPr>
        <w:t>4</w:t>
      </w:r>
      <w:r w:rsidRPr="00BF227C">
        <w:rPr>
          <w:rFonts w:ascii="Times New Roman" w:eastAsia="Times New Roman" w:hAnsi="Times New Roman" w:cs="Times New Roman"/>
          <w:b/>
        </w:rPr>
        <w:t xml:space="preserve">. </w:t>
      </w:r>
      <w:r w:rsidRPr="00BF227C">
        <w:rPr>
          <w:rFonts w:ascii="Times New Roman" w:eastAsiaTheme="minorEastAsia" w:hAnsi="Times New Roman" w:cs="Times New Roman"/>
          <w:b/>
          <w:bCs/>
          <w:lang w:val="ro-RO" w:eastAsia="ro-RO"/>
        </w:rPr>
        <w:t>Ponderea c</w:t>
      </w:r>
      <w:r w:rsidRPr="00BF227C">
        <w:rPr>
          <w:rFonts w:ascii="Times New Roman" w:eastAsiaTheme="minorEastAsia" w:hAnsi="Times New Roman" w:cs="Times New Roman"/>
          <w:b/>
          <w:bCs/>
          <w:lang w:val="fr-FR" w:eastAsia="ro-RO"/>
        </w:rPr>
        <w:t>azurilor noi de HIV la persoanele infectate prin transmiterea materno-fetală,</w:t>
      </w:r>
      <w:r w:rsidRPr="00BF227C">
        <w:rPr>
          <w:rFonts w:ascii="Times New Roman" w:eastAsia="Times New Roman" w:hAnsi="Times New Roman" w:cs="Times New Roman"/>
          <w:b/>
        </w:rPr>
        <w:t xml:space="preserve"> din total cazuri noi, în UE, în perioada 2011-2020</w:t>
      </w:r>
    </w:p>
    <w:p w:rsidR="00BF227C" w:rsidRPr="00BF227C" w:rsidRDefault="00BF227C" w:rsidP="00BF227C">
      <w:pPr>
        <w:shd w:val="clear" w:color="auto" w:fill="FCFCFC"/>
        <w:spacing w:after="0"/>
        <w:rPr>
          <w:rFonts w:ascii="Times New Roman" w:eastAsiaTheme="minorEastAsia" w:hAnsi="Times New Roman" w:cs="Times New Roman"/>
          <w:b/>
          <w:bCs/>
          <w:lang w:val="fr-FR" w:eastAsia="ro-RO"/>
        </w:rPr>
      </w:pPr>
      <w:r w:rsidRPr="00BF227C">
        <w:rPr>
          <w:rFonts w:ascii="Times New Roman" w:eastAsia="Times New Roman" w:hAnsi="Times New Roman" w:cs="Times New Roman"/>
          <w:b/>
          <w:noProof/>
        </w:rPr>
        <w:drawing>
          <wp:inline distT="0" distB="0" distL="0" distR="0" wp14:anchorId="16462D84" wp14:editId="1D4CE19E">
            <wp:extent cx="5486400" cy="4581525"/>
            <wp:effectExtent l="0" t="0" r="1905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F227C" w:rsidRPr="00D36B6B" w:rsidRDefault="00BF227C" w:rsidP="00BF227C">
      <w:pPr>
        <w:shd w:val="clear" w:color="auto" w:fill="FCFCFC"/>
        <w:spacing w:after="0"/>
        <w:rPr>
          <w:rFonts w:ascii="Times New Roman" w:eastAsia="Times New Roman" w:hAnsi="Times New Roman" w:cs="Times New Roman"/>
          <w:color w:val="0000FF"/>
          <w:sz w:val="20"/>
          <w:szCs w:val="20"/>
          <w:vertAlign w:val="superscript"/>
        </w:rPr>
      </w:pPr>
      <w:r w:rsidRPr="00BF227C">
        <w:rPr>
          <w:rFonts w:ascii="Times New Roman" w:eastAsia="Times New Roman" w:hAnsi="Times New Roman" w:cs="Times New Roman"/>
          <w:sz w:val="20"/>
          <w:szCs w:val="20"/>
        </w:rPr>
        <w:t xml:space="preserve">Sursa: </w:t>
      </w:r>
      <w:hyperlink r:id="rId60" w:history="1">
        <w:r w:rsidRPr="00BF227C">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r w:rsidR="00D36B6B">
        <w:rPr>
          <w:rFonts w:ascii="Times New Roman" w:eastAsiaTheme="minorEastAsia" w:hAnsi="Times New Roman" w:cs="Times New Roman"/>
          <w:color w:val="0000FF"/>
          <w:sz w:val="20"/>
          <w:szCs w:val="20"/>
          <w:u w:val="single"/>
          <w:vertAlign w:val="superscript"/>
          <w:lang w:val="ro-RO" w:eastAsia="ro-RO"/>
        </w:rPr>
        <w:t>24</w:t>
      </w:r>
    </w:p>
    <w:p w:rsidR="00BF227C" w:rsidRPr="00BF227C" w:rsidRDefault="00BF227C" w:rsidP="00BF227C">
      <w:pPr>
        <w:shd w:val="clear" w:color="auto" w:fill="FCFCFC"/>
        <w:spacing w:after="0"/>
        <w:rPr>
          <w:rFonts w:ascii="Times New Roman" w:eastAsiaTheme="minorEastAsia" w:hAnsi="Times New Roman" w:cs="Times New Roman"/>
          <w:b/>
          <w:bCs/>
          <w:lang w:val="ro-RO" w:eastAsia="ro-RO"/>
        </w:rPr>
      </w:pPr>
      <w:r w:rsidRPr="000A0487">
        <w:rPr>
          <w:rFonts w:ascii="Times New Roman" w:eastAsia="Times New Roman" w:hAnsi="Times New Roman" w:cs="Times New Roman"/>
        </w:rPr>
        <w:t xml:space="preserve">În România, comparativ cu UE, ponderea cazurilor a scăzut de la 2.73% în 2011,  la  1.57% în 2020 (cu aprox. 43%). </w:t>
      </w:r>
      <w:r w:rsidRPr="00BF227C">
        <w:rPr>
          <w:rFonts w:ascii="Times New Roman" w:eastAsia="Times New Roman" w:hAnsi="Times New Roman" w:cs="Times New Roman"/>
        </w:rPr>
        <w:t>În 2020, aprox. 3% din cazurile existente în UE, proveneau din România.</w:t>
      </w:r>
    </w:p>
    <w:p w:rsidR="00BF227C" w:rsidRPr="00BF227C" w:rsidRDefault="00BF227C" w:rsidP="00BF227C">
      <w:pPr>
        <w:shd w:val="clear" w:color="auto" w:fill="FCFCFC"/>
        <w:spacing w:after="0"/>
        <w:rPr>
          <w:rFonts w:ascii="Times New Roman" w:eastAsiaTheme="minorEastAsia" w:hAnsi="Times New Roman" w:cs="Times New Roman"/>
          <w:b/>
          <w:bCs/>
          <w:lang w:val="fr-FR" w:eastAsia="ro-RO"/>
        </w:rPr>
      </w:pPr>
      <w:r w:rsidRPr="00BF227C">
        <w:rPr>
          <w:rFonts w:ascii="Times New Roman" w:eastAsiaTheme="minorEastAsia" w:hAnsi="Times New Roman" w:cs="Times New Roman"/>
          <w:b/>
          <w:bCs/>
          <w:lang w:val="ro-RO" w:eastAsia="ro-RO"/>
        </w:rPr>
        <w:lastRenderedPageBreak/>
        <w:t xml:space="preserve">Figura </w:t>
      </w:r>
      <w:r w:rsidR="00FB0095">
        <w:rPr>
          <w:rFonts w:ascii="Times New Roman" w:eastAsiaTheme="minorEastAsia" w:hAnsi="Times New Roman" w:cs="Times New Roman"/>
          <w:b/>
          <w:bCs/>
          <w:lang w:val="ro-RO" w:eastAsia="ro-RO"/>
        </w:rPr>
        <w:t>2</w:t>
      </w:r>
      <w:r w:rsidR="00022FEA">
        <w:rPr>
          <w:rFonts w:ascii="Times New Roman" w:eastAsiaTheme="minorEastAsia" w:hAnsi="Times New Roman" w:cs="Times New Roman"/>
          <w:b/>
          <w:bCs/>
          <w:lang w:val="ro-RO" w:eastAsia="ro-RO"/>
        </w:rPr>
        <w:t>5</w:t>
      </w:r>
      <w:r w:rsidRPr="00BF227C">
        <w:rPr>
          <w:rFonts w:ascii="Times New Roman" w:eastAsiaTheme="minorEastAsia" w:hAnsi="Times New Roman" w:cs="Times New Roman"/>
          <w:b/>
          <w:bCs/>
          <w:lang w:val="ro-RO" w:eastAsia="ro-RO"/>
        </w:rPr>
        <w:t>.  Ponderea c</w:t>
      </w:r>
      <w:r w:rsidRPr="00BF227C">
        <w:rPr>
          <w:rFonts w:ascii="Times New Roman" w:eastAsiaTheme="minorEastAsia" w:hAnsi="Times New Roman" w:cs="Times New Roman"/>
          <w:b/>
          <w:bCs/>
          <w:lang w:val="fr-FR" w:eastAsia="ro-RO"/>
        </w:rPr>
        <w:t>azurilor noi de HIV la persoanele infectate prin transmiterea materno-fetală, în România vs. UE/SEE,  2010-2019 (Nr.)</w:t>
      </w:r>
      <w:r w:rsidRPr="00BF227C">
        <w:rPr>
          <w:rFonts w:ascii="Times New Roman" w:eastAsiaTheme="minorEastAsia" w:hAnsi="Times New Roman" w:cs="Times New Roman"/>
          <w:b/>
          <w:bCs/>
          <w:noProof/>
        </w:rPr>
        <w:drawing>
          <wp:inline distT="0" distB="0" distL="0" distR="0" wp14:anchorId="78E844C7" wp14:editId="01A36C80">
            <wp:extent cx="5486400" cy="119062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BF227C">
        <w:rPr>
          <w:rFonts w:ascii="Times New Roman" w:eastAsiaTheme="minorEastAsia" w:hAnsi="Times New Roman" w:cs="Times New Roman"/>
          <w:b/>
          <w:bCs/>
          <w:lang w:val="fr-FR" w:eastAsia="ro-RO"/>
        </w:rPr>
        <w:t xml:space="preserve"> </w:t>
      </w:r>
    </w:p>
    <w:p w:rsidR="00D32033" w:rsidRPr="00D36B6B" w:rsidRDefault="00D32033" w:rsidP="00D32033">
      <w:pPr>
        <w:shd w:val="clear" w:color="auto" w:fill="FCFCFC"/>
        <w:spacing w:after="0"/>
        <w:rPr>
          <w:rFonts w:ascii="Times New Roman" w:eastAsia="Times New Roman" w:hAnsi="Times New Roman" w:cs="Times New Roman"/>
          <w:color w:val="0000FF"/>
          <w:sz w:val="20"/>
          <w:szCs w:val="20"/>
          <w:vertAlign w:val="superscript"/>
        </w:rPr>
      </w:pPr>
      <w:r w:rsidRPr="00BF227C">
        <w:rPr>
          <w:rFonts w:ascii="Times New Roman" w:eastAsia="Times New Roman" w:hAnsi="Times New Roman" w:cs="Times New Roman"/>
          <w:sz w:val="20"/>
          <w:szCs w:val="20"/>
        </w:rPr>
        <w:t xml:space="preserve">Sursa: </w:t>
      </w:r>
      <w:hyperlink r:id="rId62" w:history="1">
        <w:r w:rsidRPr="00BF227C">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r w:rsidR="00D36B6B">
        <w:rPr>
          <w:rFonts w:ascii="Times New Roman" w:eastAsiaTheme="minorEastAsia" w:hAnsi="Times New Roman" w:cs="Times New Roman"/>
          <w:color w:val="0000FF"/>
          <w:sz w:val="20"/>
          <w:szCs w:val="20"/>
          <w:u w:val="single"/>
          <w:vertAlign w:val="superscript"/>
          <w:lang w:val="ro-RO" w:eastAsia="ro-RO"/>
        </w:rPr>
        <w:t>24</w:t>
      </w:r>
    </w:p>
    <w:p w:rsidR="009265B7" w:rsidRPr="00D32033" w:rsidRDefault="00D32033" w:rsidP="009265B7">
      <w:pPr>
        <w:spacing w:after="0"/>
        <w:rPr>
          <w:rFonts w:ascii="Times New Roman" w:hAnsi="Times New Roman" w:cs="Times New Roman"/>
        </w:rPr>
      </w:pPr>
      <w:r w:rsidRPr="00D32033">
        <w:rPr>
          <w:rFonts w:ascii="Times New Roman" w:hAnsi="Times New Roman" w:cs="Times New Roman"/>
        </w:rPr>
        <w:t>Cazurile noi</w:t>
      </w:r>
      <w:r>
        <w:rPr>
          <w:rFonts w:ascii="Times New Roman" w:hAnsi="Times New Roman" w:cs="Times New Roman"/>
        </w:rPr>
        <w:t xml:space="preserve"> de HIV  la persoanele infectate prin transmitere materno-fetală </w:t>
      </w:r>
      <w:r w:rsidR="004764E2">
        <w:rPr>
          <w:rFonts w:ascii="Times New Roman" w:hAnsi="Times New Roman" w:cs="Times New Roman"/>
        </w:rPr>
        <w:t>au scăzut, în perioada 2011-2020, atât în România (cu 43%), cât și în UE (cu 24%). În România, ponderile cazurilor noi de HIV la persoanele infectate prin transmitere materno-fetală au înregistrat valori mai crescute decât media UE, în 2011 de 3.4 ori și în 2020, de 2.6 ori.</w:t>
      </w:r>
    </w:p>
    <w:p w:rsidR="00BF227C" w:rsidRPr="00BF227C" w:rsidRDefault="000A0487" w:rsidP="00BF227C">
      <w:pPr>
        <w:shd w:val="clear" w:color="auto" w:fill="FFFFFF"/>
        <w:spacing w:after="0"/>
        <w:ind w:firstLine="720"/>
        <w:jc w:val="both"/>
        <w:rPr>
          <w:rFonts w:ascii="Times New Roman" w:eastAsia="Times New Roman" w:hAnsi="Times New Roman" w:cs="Times New Roman"/>
          <w:b/>
          <w:color w:val="FF0000"/>
          <w:lang w:val="ro-RO"/>
        </w:rPr>
      </w:pPr>
      <w:r w:rsidRPr="000A0487">
        <w:rPr>
          <w:rFonts w:ascii="Times New Roman" w:eastAsia="Times New Roman" w:hAnsi="Times New Roman" w:cs="Times New Roman"/>
          <w:b/>
          <w:lang w:val="ro-RO"/>
        </w:rPr>
        <w:t>ROMÂNIA</w:t>
      </w:r>
      <w:r w:rsidR="00BF227C" w:rsidRPr="00BF227C">
        <w:rPr>
          <w:rFonts w:ascii="Times New Roman" w:eastAsia="Times New Roman" w:hAnsi="Times New Roman" w:cs="Times New Roman"/>
          <w:b/>
          <w:color w:val="FF0000"/>
          <w:lang w:val="ro-RO"/>
        </w:rPr>
        <w:t xml:space="preserve"> </w:t>
      </w:r>
    </w:p>
    <w:p w:rsidR="00BF227C" w:rsidRPr="00BF227C" w:rsidRDefault="00BF227C" w:rsidP="00BF227C">
      <w:pPr>
        <w:shd w:val="clear" w:color="auto" w:fill="FFFFFF"/>
        <w:spacing w:after="0"/>
        <w:jc w:val="both"/>
        <w:rPr>
          <w:rFonts w:ascii="Times New Roman" w:eastAsia="Times New Roman" w:hAnsi="Times New Roman" w:cs="Times New Roman"/>
          <w:lang w:val="ro-RO"/>
        </w:rPr>
      </w:pPr>
      <w:r w:rsidRPr="00BF227C">
        <w:rPr>
          <w:rFonts w:ascii="Times New Roman" w:eastAsia="Times New Roman" w:hAnsi="Times New Roman" w:cs="Times New Roman"/>
          <w:lang w:val="ro-RO"/>
        </w:rPr>
        <w:t>La 31.12.2021, în România existau 26171 cazuri HIV/SIDA (total cumulativ), cazuri noi HIV/SIDA  - 559, decese datorită SIDA - 8095.</w:t>
      </w:r>
      <w:r w:rsidR="00D36B6B">
        <w:rPr>
          <w:rStyle w:val="FootnoteReference"/>
          <w:rFonts w:ascii="Times New Roman" w:eastAsia="Times New Roman" w:hAnsi="Times New Roman" w:cs="Times New Roman"/>
          <w:lang w:val="ro-RO"/>
        </w:rPr>
        <w:footnoteReference w:id="25"/>
      </w:r>
      <w:r w:rsidRPr="00BF227C">
        <w:rPr>
          <w:rFonts w:ascii="Times New Roman" w:eastAsia="Times New Roman" w:hAnsi="Times New Roman" w:cs="Times New Roman"/>
          <w:lang w:val="ro-RO"/>
        </w:rPr>
        <w:t xml:space="preserve">  </w:t>
      </w:r>
    </w:p>
    <w:p w:rsidR="00BF227C" w:rsidRPr="00BF227C" w:rsidRDefault="00BF227C" w:rsidP="00BF227C">
      <w:pPr>
        <w:spacing w:after="0"/>
        <w:contextualSpacing/>
        <w:jc w:val="both"/>
        <w:rPr>
          <w:rFonts w:ascii="Times New Roman" w:eastAsiaTheme="minorEastAsia" w:hAnsi="Times New Roman" w:cs="Times New Roman"/>
          <w:bCs/>
          <w:lang w:val="ro-RO" w:eastAsia="ro-RO"/>
        </w:rPr>
      </w:pPr>
      <w:r w:rsidRPr="00BF227C">
        <w:rPr>
          <w:rFonts w:ascii="Times New Roman" w:eastAsiaTheme="minorEastAsia" w:hAnsi="Times New Roman" w:cs="Times New Roman"/>
          <w:bCs/>
          <w:lang w:val="ro-RO" w:eastAsia="ro-RO"/>
        </w:rPr>
        <w:t>Situația cazurilor de HIV/SIDA la grupa de vârstă sub 20 de ani evidențiază predominanța cazurilor noi la subgrupa de vârstă 15-19 ani,  a cazurilor în viață la subgrupa de vârstă 15-19 ani și a cazurilor SIDA la subgrupa de vârstă 5-9 ani.</w:t>
      </w:r>
    </w:p>
    <w:p w:rsidR="00BF227C" w:rsidRPr="00BF227C" w:rsidRDefault="00BF227C" w:rsidP="00BF227C">
      <w:pPr>
        <w:spacing w:after="0"/>
        <w:contextualSpacing/>
        <w:jc w:val="both"/>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 xml:space="preserve">Tabelul </w:t>
      </w:r>
      <w:r w:rsidR="00FB0095">
        <w:rPr>
          <w:rFonts w:ascii="Times New Roman" w:eastAsiaTheme="minorEastAsia" w:hAnsi="Times New Roman" w:cs="Times New Roman"/>
          <w:b/>
          <w:bCs/>
          <w:sz w:val="20"/>
          <w:szCs w:val="20"/>
          <w:lang w:val="ro-RO" w:eastAsia="ro-RO"/>
        </w:rPr>
        <w:t>9</w:t>
      </w:r>
      <w:r w:rsidRPr="00BF227C">
        <w:rPr>
          <w:rFonts w:ascii="Times New Roman" w:eastAsiaTheme="minorEastAsia" w:hAnsi="Times New Roman" w:cs="Times New Roman"/>
          <w:b/>
          <w:bCs/>
          <w:sz w:val="20"/>
          <w:szCs w:val="20"/>
          <w:lang w:val="ro-RO" w:eastAsia="ro-RO"/>
        </w:rPr>
        <w:t>.</w:t>
      </w:r>
      <w:r w:rsidRPr="00BF227C">
        <w:rPr>
          <w:rFonts w:ascii="Times New Roman" w:eastAsiaTheme="minorEastAsia" w:hAnsi="Times New Roman" w:cs="Times New Roman"/>
          <w:bCs/>
          <w:sz w:val="20"/>
          <w:szCs w:val="20"/>
          <w:lang w:val="ro-RO" w:eastAsia="ro-RO"/>
        </w:rPr>
        <w:t xml:space="preserve"> </w:t>
      </w:r>
      <w:r w:rsidRPr="00BF227C">
        <w:rPr>
          <w:rFonts w:ascii="Times New Roman" w:eastAsiaTheme="minorEastAsia" w:hAnsi="Times New Roman" w:cs="Times New Roman"/>
          <w:b/>
          <w:sz w:val="20"/>
          <w:szCs w:val="20"/>
          <w:lang w:val="ro-RO" w:eastAsia="ro-RO"/>
        </w:rPr>
        <w:t xml:space="preserve">Situația infecției HIV/SIDA în România, sub 20 de ani, în funcție de grupa de vârstă, </w:t>
      </w:r>
      <w:r w:rsidRPr="00BF227C">
        <w:rPr>
          <w:rFonts w:ascii="Times New Roman" w:eastAsiaTheme="minorEastAsia" w:hAnsi="Times New Roman" w:cs="Times New Roman"/>
          <w:b/>
          <w:bCs/>
          <w:sz w:val="20"/>
          <w:szCs w:val="20"/>
          <w:lang w:val="ro-RO" w:eastAsia="ro-RO"/>
        </w:rPr>
        <w:t>31.12.2021</w:t>
      </w:r>
    </w:p>
    <w:tbl>
      <w:tblPr>
        <w:tblStyle w:val="TableGrid"/>
        <w:tblW w:w="0" w:type="auto"/>
        <w:tblInd w:w="108" w:type="dxa"/>
        <w:tblLook w:val="04A0" w:firstRow="1" w:lastRow="0" w:firstColumn="1" w:lastColumn="0" w:noHBand="0" w:noVBand="1"/>
      </w:tblPr>
      <w:tblGrid>
        <w:gridCol w:w="1260"/>
        <w:gridCol w:w="810"/>
        <w:gridCol w:w="990"/>
        <w:gridCol w:w="1530"/>
        <w:gridCol w:w="1260"/>
        <w:gridCol w:w="1260"/>
        <w:gridCol w:w="1350"/>
      </w:tblGrid>
      <w:tr w:rsidR="00BF227C" w:rsidRPr="00BF227C" w:rsidTr="00CA38F6">
        <w:tc>
          <w:tcPr>
            <w:tcW w:w="1260" w:type="dxa"/>
            <w:vMerge w:val="restart"/>
          </w:tcPr>
          <w:p w:rsidR="00BF227C" w:rsidRPr="00BF227C" w:rsidRDefault="00BF227C" w:rsidP="00BF227C">
            <w:pPr>
              <w:contextualSpacing/>
              <w:jc w:val="both"/>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 xml:space="preserve">Grupa de vârstă </w:t>
            </w:r>
          </w:p>
        </w:tc>
        <w:tc>
          <w:tcPr>
            <w:tcW w:w="180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Cazuri noi HIV/SIDA</w:t>
            </w:r>
          </w:p>
        </w:tc>
        <w:tc>
          <w:tcPr>
            <w:tcW w:w="279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Cazuri HIV/SIDA în viață (total cumulativ 1985-2021)</w:t>
            </w:r>
          </w:p>
        </w:tc>
        <w:tc>
          <w:tcPr>
            <w:tcW w:w="261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Cazuri SIDA</w:t>
            </w:r>
          </w:p>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(total cumulativ 1985-2021)</w:t>
            </w:r>
          </w:p>
        </w:tc>
      </w:tr>
      <w:tr w:rsidR="00BF227C" w:rsidRPr="00BF227C" w:rsidTr="00CA38F6">
        <w:tc>
          <w:tcPr>
            <w:tcW w:w="1260" w:type="dxa"/>
            <w:vMerge/>
          </w:tcPr>
          <w:p w:rsidR="00BF227C" w:rsidRPr="00BF227C" w:rsidRDefault="00BF227C" w:rsidP="00BF227C">
            <w:pPr>
              <w:contextualSpacing/>
              <w:jc w:val="both"/>
              <w:rPr>
                <w:rFonts w:ascii="Times New Roman" w:eastAsiaTheme="minorEastAsia" w:hAnsi="Times New Roman" w:cs="Times New Roman"/>
                <w:b/>
                <w:bCs/>
                <w:sz w:val="20"/>
                <w:szCs w:val="20"/>
                <w:lang w:val="ro-RO" w:eastAsia="ro-RO"/>
              </w:rPr>
            </w:pPr>
          </w:p>
        </w:tc>
        <w:tc>
          <w:tcPr>
            <w:tcW w:w="81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Nr.</w:t>
            </w:r>
          </w:p>
        </w:tc>
        <w:tc>
          <w:tcPr>
            <w:tcW w:w="99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w:t>
            </w:r>
          </w:p>
        </w:tc>
        <w:tc>
          <w:tcPr>
            <w:tcW w:w="153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Nr.</w:t>
            </w:r>
          </w:p>
        </w:tc>
        <w:tc>
          <w:tcPr>
            <w:tcW w:w="126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w:t>
            </w:r>
          </w:p>
        </w:tc>
        <w:tc>
          <w:tcPr>
            <w:tcW w:w="126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Nr.</w:t>
            </w:r>
          </w:p>
        </w:tc>
        <w:tc>
          <w:tcPr>
            <w:tcW w:w="135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Total</w:t>
            </w:r>
          </w:p>
        </w:tc>
        <w:tc>
          <w:tcPr>
            <w:tcW w:w="180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559</w:t>
            </w:r>
          </w:p>
        </w:tc>
        <w:tc>
          <w:tcPr>
            <w:tcW w:w="279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17271</w:t>
            </w:r>
          </w:p>
        </w:tc>
        <w:tc>
          <w:tcPr>
            <w:tcW w:w="261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17444</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Sub 1 an</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6</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1.07</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2</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0.01</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709</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4.06</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1-4 ani</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0.18</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33</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0.19</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2601</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14.91</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5-9 ani</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69</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0.40</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3348</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19.19</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10-14 ani</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64</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0.37</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1716</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9.84</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15-19 ani</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27</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4.83</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135</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0.78</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1246</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7.14</w:t>
            </w:r>
          </w:p>
        </w:tc>
      </w:tr>
    </w:tbl>
    <w:p w:rsidR="00BF227C" w:rsidRPr="00D36B6B" w:rsidRDefault="00BF227C" w:rsidP="00BF227C">
      <w:pPr>
        <w:shd w:val="clear" w:color="auto" w:fill="FFFFFF"/>
        <w:spacing w:after="0"/>
        <w:jc w:val="both"/>
        <w:rPr>
          <w:rFonts w:ascii="Times New Roman" w:eastAsia="Times New Roman" w:hAnsi="Times New Roman" w:cs="Times New Roman"/>
          <w:b/>
          <w:color w:val="0000FF"/>
          <w:sz w:val="20"/>
          <w:szCs w:val="20"/>
          <w:vertAlign w:val="superscript"/>
          <w:lang w:val="ro-RO"/>
        </w:rPr>
      </w:pPr>
      <w:r w:rsidRPr="00BF227C">
        <w:rPr>
          <w:rFonts w:ascii="Times New Roman" w:eastAsia="Times New Roman" w:hAnsi="Times New Roman" w:cs="Times New Roman"/>
          <w:sz w:val="20"/>
          <w:szCs w:val="20"/>
          <w:lang w:val="ro-RO"/>
        </w:rPr>
        <w:t xml:space="preserve">Sursa: </w:t>
      </w:r>
      <w:hyperlink r:id="rId63" w:history="1">
        <w:r w:rsidRPr="00BF227C">
          <w:rPr>
            <w:rFonts w:ascii="Times New Roman" w:eastAsiaTheme="majorEastAsia" w:hAnsi="Times New Roman" w:cs="Times New Roman"/>
            <w:color w:val="0000FF"/>
            <w:sz w:val="20"/>
            <w:szCs w:val="20"/>
            <w:u w:val="single"/>
            <w:lang w:val="ro-RO"/>
          </w:rPr>
          <w:t>http://www.cnlas.ro/images/doc/31122020_rom.pdf</w:t>
        </w:r>
      </w:hyperlink>
      <w:r w:rsidRPr="00BF227C">
        <w:rPr>
          <w:rFonts w:ascii="Times New Roman" w:eastAsiaTheme="majorEastAsia" w:hAnsi="Times New Roman" w:cs="Times New Roman"/>
          <w:color w:val="0000FF"/>
          <w:sz w:val="20"/>
          <w:szCs w:val="20"/>
          <w:u w:val="single"/>
          <w:lang w:val="ro-RO"/>
        </w:rPr>
        <w:t xml:space="preserve"> </w:t>
      </w:r>
      <w:r w:rsidR="00D36B6B">
        <w:rPr>
          <w:rFonts w:ascii="Times New Roman" w:eastAsiaTheme="majorEastAsia" w:hAnsi="Times New Roman" w:cs="Times New Roman"/>
          <w:color w:val="0000FF"/>
          <w:sz w:val="20"/>
          <w:szCs w:val="20"/>
          <w:u w:val="single"/>
          <w:vertAlign w:val="superscript"/>
          <w:lang w:val="ro-RO"/>
        </w:rPr>
        <w:t>25</w:t>
      </w:r>
    </w:p>
    <w:p w:rsidR="00BF227C" w:rsidRPr="00BF227C" w:rsidRDefault="004C1B6E" w:rsidP="00BF227C">
      <w:pPr>
        <w:spacing w:after="0"/>
        <w:rPr>
          <w:rFonts w:ascii="Times New Roman" w:eastAsia="Times New Roman" w:hAnsi="Times New Roman" w:cs="Times New Roman"/>
        </w:rPr>
      </w:pPr>
      <w:r>
        <w:rPr>
          <w:rFonts w:ascii="Times New Roman" w:eastAsia="Times New Roman" w:hAnsi="Times New Roman" w:cs="Times New Roman"/>
        </w:rPr>
        <w:t xml:space="preserve">Cazurile de HIV </w:t>
      </w:r>
      <w:r w:rsidRPr="00BF227C">
        <w:rPr>
          <w:rFonts w:ascii="Times New Roman" w:eastAsia="Times New Roman" w:hAnsi="Times New Roman" w:cs="Times New Roman"/>
        </w:rPr>
        <w:t xml:space="preserve">în perioada 2011-2021 </w:t>
      </w:r>
      <w:r>
        <w:rPr>
          <w:rFonts w:ascii="Times New Roman" w:eastAsia="Times New Roman" w:hAnsi="Times New Roman" w:cs="Times New Roman"/>
        </w:rPr>
        <w:t xml:space="preserve">prin </w:t>
      </w:r>
      <w:r w:rsidR="00BF227C" w:rsidRPr="00BF227C">
        <w:rPr>
          <w:rFonts w:ascii="Times New Roman" w:eastAsia="Times New Roman" w:hAnsi="Times New Roman" w:cs="Times New Roman"/>
        </w:rPr>
        <w:t xml:space="preserve"> transmitere materno-fetală a</w:t>
      </w:r>
      <w:r>
        <w:rPr>
          <w:rFonts w:ascii="Times New Roman" w:eastAsia="Times New Roman" w:hAnsi="Times New Roman" w:cs="Times New Roman"/>
        </w:rPr>
        <w:t>u</w:t>
      </w:r>
      <w:r w:rsidR="00BF227C" w:rsidRPr="00BF227C">
        <w:rPr>
          <w:rFonts w:ascii="Times New Roman" w:eastAsia="Times New Roman" w:hAnsi="Times New Roman" w:cs="Times New Roman"/>
        </w:rPr>
        <w:t xml:space="preserve"> scăzut de la 3% în 2011, la 1.3% în 2021 (cu 57%). </w:t>
      </w:r>
    </w:p>
    <w:p w:rsidR="00BF227C" w:rsidRPr="00BF227C" w:rsidRDefault="00BF227C" w:rsidP="00BF227C">
      <w:pPr>
        <w:spacing w:after="0"/>
        <w:rPr>
          <w:rFonts w:ascii="Times New Roman" w:eastAsia="Times New Roman" w:hAnsi="Times New Roman" w:cs="Times New Roman"/>
          <w:b/>
        </w:rPr>
      </w:pPr>
      <w:r w:rsidRPr="00BF227C">
        <w:rPr>
          <w:rFonts w:ascii="Times New Roman" w:eastAsia="Times New Roman" w:hAnsi="Times New Roman" w:cs="Times New Roman"/>
          <w:b/>
        </w:rPr>
        <w:t xml:space="preserve">Figura </w:t>
      </w:r>
      <w:r w:rsidR="00FB0095">
        <w:rPr>
          <w:rFonts w:ascii="Times New Roman" w:eastAsia="Times New Roman" w:hAnsi="Times New Roman" w:cs="Times New Roman"/>
          <w:b/>
        </w:rPr>
        <w:t>2</w:t>
      </w:r>
      <w:r w:rsidR="00022FEA">
        <w:rPr>
          <w:rFonts w:ascii="Times New Roman" w:eastAsia="Times New Roman" w:hAnsi="Times New Roman" w:cs="Times New Roman"/>
          <w:b/>
        </w:rPr>
        <w:t>6</w:t>
      </w:r>
      <w:r w:rsidRPr="00BF227C">
        <w:rPr>
          <w:rFonts w:ascii="Times New Roman" w:eastAsia="Times New Roman" w:hAnsi="Times New Roman" w:cs="Times New Roman"/>
          <w:b/>
        </w:rPr>
        <w:t>. Calea de transmitere materno-fetală  a HIV/SIDA în perioada 2011-2021</w:t>
      </w:r>
      <w:r w:rsidRPr="00BF227C">
        <w:rPr>
          <w:rFonts w:ascii="Times New Roman" w:eastAsiaTheme="minorEastAsia" w:hAnsi="Times New Roman" w:cs="Times New Roman"/>
          <w:b/>
          <w:bCs/>
          <w:noProof/>
          <w:color w:val="FF0000"/>
        </w:rPr>
        <w:drawing>
          <wp:inline distT="0" distB="0" distL="0" distR="0" wp14:anchorId="01DF84B9" wp14:editId="76F35FDB">
            <wp:extent cx="5486400" cy="1076325"/>
            <wp:effectExtent l="0" t="0" r="1905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F227C" w:rsidRPr="00D36B6B" w:rsidRDefault="00BF227C" w:rsidP="00BF227C">
      <w:pPr>
        <w:spacing w:after="0"/>
        <w:rPr>
          <w:rFonts w:ascii="Times New Roman" w:eastAsiaTheme="majorEastAsia" w:hAnsi="Times New Roman" w:cs="Times New Roman"/>
          <w:color w:val="0000FF"/>
          <w:sz w:val="20"/>
          <w:szCs w:val="20"/>
          <w:u w:val="single"/>
          <w:vertAlign w:val="superscript"/>
          <w:lang w:val="ro-RO"/>
        </w:rPr>
      </w:pPr>
      <w:r w:rsidRPr="00BF227C">
        <w:rPr>
          <w:rFonts w:ascii="Times New Roman" w:eastAsia="Times New Roman" w:hAnsi="Times New Roman" w:cs="Times New Roman"/>
          <w:sz w:val="20"/>
          <w:szCs w:val="20"/>
          <w:lang w:val="ro-RO"/>
        </w:rPr>
        <w:t xml:space="preserve">Sursa: </w:t>
      </w:r>
      <w:hyperlink r:id="rId65" w:history="1">
        <w:r w:rsidRPr="00BF227C">
          <w:rPr>
            <w:rFonts w:ascii="Times New Roman" w:eastAsiaTheme="majorEastAsia" w:hAnsi="Times New Roman" w:cs="Times New Roman"/>
            <w:color w:val="0000FF"/>
            <w:sz w:val="20"/>
            <w:szCs w:val="20"/>
            <w:u w:val="single"/>
            <w:lang w:val="ro-RO"/>
          </w:rPr>
          <w:t>http://www.cnlas.ro/images/doc/31122020_rom.pdf</w:t>
        </w:r>
      </w:hyperlink>
      <w:r w:rsidR="00D36B6B">
        <w:rPr>
          <w:rFonts w:ascii="Times New Roman" w:eastAsiaTheme="majorEastAsia" w:hAnsi="Times New Roman" w:cs="Times New Roman"/>
          <w:color w:val="0000FF"/>
          <w:sz w:val="20"/>
          <w:szCs w:val="20"/>
          <w:u w:val="single"/>
          <w:vertAlign w:val="superscript"/>
          <w:lang w:val="ro-RO"/>
        </w:rPr>
        <w:t>25</w:t>
      </w:r>
    </w:p>
    <w:p w:rsidR="006C0558" w:rsidRDefault="006C0558" w:rsidP="009265B7">
      <w:pPr>
        <w:spacing w:after="0"/>
        <w:rPr>
          <w:rFonts w:ascii="Times New Roman" w:hAnsi="Times New Roman" w:cs="Times New Roman"/>
          <w:b/>
          <w:sz w:val="28"/>
          <w:szCs w:val="28"/>
        </w:rPr>
      </w:pPr>
    </w:p>
    <w:p w:rsidR="006C0558" w:rsidRDefault="006C0558" w:rsidP="009265B7">
      <w:pPr>
        <w:spacing w:after="0"/>
        <w:rPr>
          <w:rFonts w:ascii="Times New Roman" w:hAnsi="Times New Roman" w:cs="Times New Roman"/>
          <w:b/>
          <w:sz w:val="28"/>
          <w:szCs w:val="28"/>
        </w:rPr>
      </w:pPr>
    </w:p>
    <w:p w:rsidR="001351A8" w:rsidRDefault="001351A8" w:rsidP="009265B7">
      <w:pPr>
        <w:spacing w:after="0"/>
        <w:rPr>
          <w:rFonts w:ascii="Times New Roman" w:hAnsi="Times New Roman" w:cs="Times New Roman"/>
          <w:b/>
          <w:sz w:val="28"/>
          <w:szCs w:val="28"/>
        </w:rPr>
      </w:pPr>
      <w:r>
        <w:rPr>
          <w:rFonts w:ascii="Times New Roman" w:hAnsi="Times New Roman" w:cs="Times New Roman"/>
          <w:b/>
          <w:sz w:val="28"/>
          <w:szCs w:val="28"/>
        </w:rPr>
        <w:lastRenderedPageBreak/>
        <w:t>Cancerul de col uterin</w:t>
      </w:r>
    </w:p>
    <w:p w:rsidR="001351A8" w:rsidRPr="001351A8" w:rsidRDefault="001351A8" w:rsidP="00106844">
      <w:pPr>
        <w:spacing w:after="0"/>
        <w:jc w:val="both"/>
        <w:rPr>
          <w:rStyle w:val="Hyperlink"/>
          <w:rFonts w:ascii="Times New Roman" w:eastAsiaTheme="majorEastAsia" w:hAnsi="Times New Roman" w:cs="Times New Roman"/>
          <w:color w:val="auto"/>
          <w:u w:val="none"/>
        </w:rPr>
      </w:pPr>
      <w:r w:rsidRPr="001351A8">
        <w:rPr>
          <w:rStyle w:val="Hyperlink"/>
          <w:rFonts w:ascii="Times New Roman" w:eastAsiaTheme="majorEastAsia" w:hAnsi="Times New Roman" w:cs="Times New Roman"/>
          <w:color w:val="auto"/>
          <w:u w:val="none"/>
        </w:rPr>
        <w:t>Cancerul de col uterin este al patrulea cel mai frecvent cancer în rândul femeilor la nivel global, cu aproximativ 604 000 de cazuri noi și 342 000 de decese în 2020. Aproximativ 90% dintre cazurile noi și decesele la nivel mondial în 2020 au avut loc în țări cu venituri mici și medii. Două tipuri de papilomavirus uman (HPV) (16 și 18) sunt responsabile pentru aproape 50% din precancerele de col uterin de grad înalt</w:t>
      </w:r>
      <w:r>
        <w:rPr>
          <w:rStyle w:val="Hyperlink"/>
          <w:rFonts w:ascii="Times New Roman" w:eastAsiaTheme="majorEastAsia" w:hAnsi="Times New Roman" w:cs="Times New Roman"/>
          <w:color w:val="auto"/>
          <w:u w:val="none"/>
        </w:rPr>
        <w:t>.</w:t>
      </w:r>
    </w:p>
    <w:p w:rsidR="001351A8" w:rsidRPr="001351A8" w:rsidRDefault="001351A8" w:rsidP="00106844">
      <w:pPr>
        <w:spacing w:after="0"/>
        <w:jc w:val="both"/>
        <w:rPr>
          <w:rStyle w:val="Hyperlink"/>
          <w:rFonts w:ascii="Times New Roman" w:eastAsiaTheme="majorEastAsia" w:hAnsi="Times New Roman" w:cs="Times New Roman"/>
          <w:color w:val="auto"/>
          <w:u w:val="none"/>
        </w:rPr>
      </w:pPr>
      <w:r w:rsidRPr="001351A8">
        <w:rPr>
          <w:rStyle w:val="Hyperlink"/>
          <w:rFonts w:ascii="Times New Roman" w:eastAsiaTheme="majorEastAsia" w:hAnsi="Times New Roman" w:cs="Times New Roman"/>
          <w:color w:val="auto"/>
          <w:u w:val="none"/>
        </w:rPr>
        <w:t>• HPV se transmite în principal prin contact sexual și majoritatea oamenilor sunt infectați cu HPV la scurt timp după începerea activității sexuale. Cancerul de col uterin poate fi vindecat dacă este diagnosticat într-un stadiu incipient și tratat prompt.</w:t>
      </w:r>
    </w:p>
    <w:p w:rsidR="001351A8" w:rsidRDefault="001351A8" w:rsidP="00106844">
      <w:pPr>
        <w:spacing w:after="0"/>
        <w:jc w:val="both"/>
        <w:rPr>
          <w:rStyle w:val="Hyperlink"/>
          <w:rFonts w:ascii="Times New Roman" w:eastAsiaTheme="majorEastAsia" w:hAnsi="Times New Roman" w:cs="Times New Roman"/>
          <w:color w:val="auto"/>
          <w:u w:val="none"/>
        </w:rPr>
      </w:pPr>
      <w:r w:rsidRPr="001351A8">
        <w:rPr>
          <w:rStyle w:val="Hyperlink"/>
          <w:rFonts w:ascii="Times New Roman" w:eastAsiaTheme="majorEastAsia" w:hAnsi="Times New Roman" w:cs="Times New Roman"/>
          <w:color w:val="auto"/>
          <w:u w:val="none"/>
        </w:rPr>
        <w:t>• Controlul cuprinzător al cancerului de col uterin include prevenirea primară (vaccinarea împotriva HPV), prevenirea secundară (screeningul și tratamentul leziunilor precanceroase), prevenirea terțiară (diagnosticul și tratamentul cancerului de col uterin invaziv) și îngrijirea paliativă.</w:t>
      </w:r>
      <w:r w:rsidR="00D36B6B">
        <w:rPr>
          <w:rStyle w:val="FootnoteReference"/>
          <w:rFonts w:ascii="Times New Roman" w:eastAsiaTheme="majorEastAsia" w:hAnsi="Times New Roman" w:cs="Times New Roman"/>
        </w:rPr>
        <w:footnoteReference w:id="26"/>
      </w:r>
      <w:r w:rsidR="00D36B6B">
        <w:rPr>
          <w:rStyle w:val="Hyperlink"/>
          <w:rFonts w:ascii="Times New Roman" w:eastAsiaTheme="majorEastAsia" w:hAnsi="Times New Roman" w:cs="Times New Roman"/>
          <w:color w:val="auto"/>
          <w:u w:val="none"/>
          <w:vertAlign w:val="superscript"/>
        </w:rPr>
        <w:t>,</w:t>
      </w:r>
      <w:r w:rsidR="00D36B6B">
        <w:rPr>
          <w:rStyle w:val="FootnoteReference"/>
          <w:rFonts w:ascii="Times New Roman" w:eastAsiaTheme="majorEastAsia" w:hAnsi="Times New Roman" w:cs="Times New Roman"/>
        </w:rPr>
        <w:footnoteReference w:id="27"/>
      </w:r>
      <w:r w:rsidRPr="001351A8">
        <w:rPr>
          <w:rStyle w:val="Hyperlink"/>
          <w:rFonts w:ascii="Times New Roman" w:eastAsiaTheme="majorEastAsia" w:hAnsi="Times New Roman" w:cs="Times New Roman"/>
          <w:color w:val="auto"/>
          <w:u w:val="none"/>
        </w:rPr>
        <w:t xml:space="preserve"> </w:t>
      </w:r>
    </w:p>
    <w:p w:rsidR="00A32261" w:rsidRPr="00D36B6B" w:rsidRDefault="0092584A" w:rsidP="00106844">
      <w:pPr>
        <w:spacing w:after="0" w:line="240" w:lineRule="auto"/>
        <w:jc w:val="both"/>
        <w:rPr>
          <w:rFonts w:ascii="Times New Roman" w:hAnsi="Times New Roman" w:cs="Times New Roman"/>
          <w:vertAlign w:val="superscript"/>
        </w:rPr>
      </w:pPr>
      <w:r w:rsidRPr="0092584A">
        <w:rPr>
          <w:rFonts w:ascii="Times New Roman" w:eastAsia="Times New Roman" w:hAnsi="Times New Roman" w:cs="Times New Roman"/>
          <w:b/>
          <w:sz w:val="24"/>
          <w:szCs w:val="24"/>
          <w:lang w:val="ro-RO"/>
        </w:rPr>
        <w:t>Screeningul cancerului de col uterin</w:t>
      </w:r>
      <w:r w:rsidRPr="0092584A">
        <w:rPr>
          <w:rFonts w:ascii="Times New Roman" w:eastAsia="Times New Roman" w:hAnsi="Times New Roman" w:cs="Times New Roman"/>
          <w:sz w:val="24"/>
          <w:szCs w:val="24"/>
          <w:lang w:val="ro-RO"/>
        </w:rPr>
        <w:t xml:space="preserve"> implică testarea infecției cu HPV pentru a detecta precancerul și cancerul, urmată de tratament, după caz.</w:t>
      </w:r>
      <w:r w:rsidR="00A32261" w:rsidRPr="00A32261">
        <w:rPr>
          <w:rFonts w:ascii="Times New Roman" w:hAnsi="Times New Roman" w:cs="Times New Roman"/>
        </w:rPr>
        <w:t xml:space="preserve"> </w:t>
      </w:r>
      <w:r w:rsidR="00A32261" w:rsidRPr="0004635A">
        <w:rPr>
          <w:rFonts w:ascii="Times New Roman" w:hAnsi="Times New Roman" w:cs="Times New Roman"/>
        </w:rPr>
        <w:t xml:space="preserve">Riscul de cancer de col uterin invaziv este redus cu până la 90 % </w:t>
      </w:r>
      <w:r w:rsidR="00A32261">
        <w:rPr>
          <w:rFonts w:ascii="Times New Roman" w:hAnsi="Times New Roman" w:cs="Times New Roman"/>
        </w:rPr>
        <w:t xml:space="preserve"> (</w:t>
      </w:r>
      <w:r w:rsidR="00A32261" w:rsidRPr="0004635A">
        <w:rPr>
          <w:rFonts w:ascii="Times New Roman" w:hAnsi="Times New Roman" w:cs="Times New Roman"/>
        </w:rPr>
        <w:t>9 din 10 cazuri de cancer invaziv pot fi prevenite prin screening</w:t>
      </w:r>
      <w:r w:rsidR="00A32261">
        <w:rPr>
          <w:rFonts w:ascii="Times New Roman" w:hAnsi="Times New Roman" w:cs="Times New Roman"/>
        </w:rPr>
        <w:t xml:space="preserve">) </w:t>
      </w:r>
      <w:r w:rsidR="00A32261" w:rsidRPr="0004635A">
        <w:rPr>
          <w:rFonts w:ascii="Times New Roman" w:hAnsi="Times New Roman" w:cs="Times New Roman"/>
        </w:rPr>
        <w:t xml:space="preserve">la femeile care participă în mod regulat la programe </w:t>
      </w:r>
      <w:r w:rsidR="00A32261">
        <w:rPr>
          <w:rFonts w:ascii="Times New Roman" w:hAnsi="Times New Roman" w:cs="Times New Roman"/>
        </w:rPr>
        <w:t xml:space="preserve"> </w:t>
      </w:r>
      <w:r w:rsidR="00A32261" w:rsidRPr="0004635A">
        <w:rPr>
          <w:rFonts w:ascii="Times New Roman" w:hAnsi="Times New Roman" w:cs="Times New Roman"/>
        </w:rPr>
        <w:t>de screening recomandate</w:t>
      </w:r>
      <w:r w:rsidR="00A32261">
        <w:rPr>
          <w:rFonts w:ascii="Times New Roman" w:hAnsi="Times New Roman" w:cs="Times New Roman"/>
        </w:rPr>
        <w:t>.</w:t>
      </w:r>
      <w:r w:rsidR="00D36B6B">
        <w:rPr>
          <w:rStyle w:val="FootnoteReference"/>
          <w:rFonts w:ascii="Times New Roman" w:hAnsi="Times New Roman" w:cs="Times New Roman"/>
        </w:rPr>
        <w:footnoteReference w:id="28"/>
      </w:r>
      <w:r w:rsidR="00D36B6B">
        <w:rPr>
          <w:rFonts w:ascii="Times New Roman" w:hAnsi="Times New Roman" w:cs="Times New Roman"/>
          <w:vertAlign w:val="superscript"/>
        </w:rPr>
        <w:t>,</w:t>
      </w:r>
      <w:r w:rsidR="00D36B6B">
        <w:rPr>
          <w:rStyle w:val="FootnoteReference"/>
          <w:rFonts w:ascii="Times New Roman" w:hAnsi="Times New Roman" w:cs="Times New Roman"/>
        </w:rPr>
        <w:footnoteReference w:id="29"/>
      </w:r>
    </w:p>
    <w:p w:rsidR="004F21B4" w:rsidRPr="004F21B4" w:rsidRDefault="004F21B4" w:rsidP="00106844">
      <w:pPr>
        <w:spacing w:after="0" w:line="240" w:lineRule="auto"/>
        <w:jc w:val="both"/>
        <w:rPr>
          <w:rFonts w:ascii="Times New Roman" w:eastAsia="Times New Roman" w:hAnsi="Times New Roman" w:cs="Times New Roman"/>
          <w:color w:val="FF0000"/>
          <w:sz w:val="24"/>
          <w:szCs w:val="24"/>
        </w:rPr>
      </w:pPr>
      <w:r w:rsidRPr="00B850AA">
        <w:rPr>
          <w:rFonts w:ascii="Times New Roman" w:eastAsia="Times New Roman" w:hAnsi="Times New Roman" w:cs="Times New Roman"/>
          <w:sz w:val="24"/>
          <w:szCs w:val="24"/>
          <w:lang w:val="ro-RO"/>
        </w:rPr>
        <w:t>Începând cu 2020, 25 de state membre ale UE au introdus în planurile lor naționale de control al cancerului programe de screening pentru cancerul de sân, în timp ce 22 de state membre au făcut acest lucru pentru cancerul de col uterin și 20 de state membre</w:t>
      </w:r>
      <w:r w:rsidR="006C0558">
        <w:rPr>
          <w:rFonts w:ascii="Times New Roman" w:eastAsia="Times New Roman" w:hAnsi="Times New Roman" w:cs="Times New Roman"/>
          <w:sz w:val="24"/>
          <w:szCs w:val="24"/>
          <w:lang w:val="ro-RO"/>
        </w:rPr>
        <w:t xml:space="preserve">, </w:t>
      </w:r>
      <w:r w:rsidRPr="00B850AA">
        <w:rPr>
          <w:rFonts w:ascii="Times New Roman" w:eastAsia="Times New Roman" w:hAnsi="Times New Roman" w:cs="Times New Roman"/>
          <w:sz w:val="24"/>
          <w:szCs w:val="24"/>
          <w:lang w:val="ro-RO"/>
        </w:rPr>
        <w:t xml:space="preserve">pentru </w:t>
      </w:r>
      <w:r w:rsidR="00B850AA">
        <w:rPr>
          <w:rFonts w:ascii="Times New Roman" w:eastAsia="Times New Roman" w:hAnsi="Times New Roman" w:cs="Times New Roman"/>
          <w:sz w:val="24"/>
          <w:szCs w:val="24"/>
          <w:lang w:val="ro-RO"/>
        </w:rPr>
        <w:t xml:space="preserve">cancerul </w:t>
      </w:r>
      <w:r w:rsidRPr="00B850AA">
        <w:rPr>
          <w:rFonts w:ascii="Times New Roman" w:eastAsia="Times New Roman" w:hAnsi="Times New Roman" w:cs="Times New Roman"/>
          <w:sz w:val="24"/>
          <w:szCs w:val="24"/>
          <w:lang w:val="ro-RO"/>
        </w:rPr>
        <w:t>colorectal.</w:t>
      </w:r>
      <w:r w:rsidR="00D36B6B">
        <w:rPr>
          <w:rStyle w:val="FootnoteReference"/>
          <w:rFonts w:ascii="Times New Roman" w:eastAsia="Times New Roman" w:hAnsi="Times New Roman" w:cs="Times New Roman"/>
          <w:sz w:val="24"/>
          <w:szCs w:val="24"/>
          <w:lang w:val="ro-RO"/>
        </w:rPr>
        <w:footnoteReference w:id="30"/>
      </w:r>
      <w:r w:rsidR="00D36B6B">
        <w:rPr>
          <w:rFonts w:ascii="Times New Roman" w:eastAsia="Times New Roman" w:hAnsi="Times New Roman" w:cs="Times New Roman"/>
          <w:sz w:val="24"/>
          <w:szCs w:val="24"/>
          <w:lang w:val="ro-RO"/>
        </w:rPr>
        <w:t xml:space="preserve"> </w:t>
      </w:r>
    </w:p>
    <w:p w:rsidR="00BF227C" w:rsidRDefault="007445D1" w:rsidP="00106844">
      <w:pPr>
        <w:spacing w:after="0"/>
        <w:jc w:val="both"/>
        <w:rPr>
          <w:rFonts w:ascii="Times New Roman" w:hAnsi="Times New Roman" w:cs="Times New Roman"/>
          <w:b/>
        </w:rPr>
      </w:pPr>
      <w:r>
        <w:rPr>
          <w:rFonts w:ascii="Times New Roman" w:hAnsi="Times New Roman" w:cs="Times New Roman"/>
          <w:b/>
        </w:rPr>
        <w:t>Figura.</w:t>
      </w:r>
      <w:r w:rsidR="00FB0095">
        <w:rPr>
          <w:rFonts w:ascii="Times New Roman" w:hAnsi="Times New Roman" w:cs="Times New Roman"/>
          <w:b/>
        </w:rPr>
        <w:t>2</w:t>
      </w:r>
      <w:r w:rsidR="00022FEA">
        <w:rPr>
          <w:rFonts w:ascii="Times New Roman" w:hAnsi="Times New Roman" w:cs="Times New Roman"/>
          <w:b/>
        </w:rPr>
        <w:t>7</w:t>
      </w:r>
      <w:r w:rsidR="0092584A" w:rsidRPr="0092584A">
        <w:rPr>
          <w:rFonts w:ascii="Times New Roman" w:hAnsi="Times New Roman" w:cs="Times New Roman"/>
          <w:b/>
        </w:rPr>
        <w:t xml:space="preserve"> Incidenta cancerului de col UE vs Ro</w:t>
      </w:r>
      <w:r w:rsidR="0092584A">
        <w:rPr>
          <w:rFonts w:ascii="Times New Roman" w:hAnsi="Times New Roman" w:cs="Times New Roman"/>
          <w:b/>
        </w:rPr>
        <w:t>, 2011-2020, %</w:t>
      </w:r>
      <w:r w:rsidR="00621AA0">
        <w:rPr>
          <w:rFonts w:ascii="Times New Roman" w:hAnsi="Times New Roman" w:cs="Times New Roman"/>
          <w:b/>
        </w:rPr>
        <w:t>ooo</w:t>
      </w:r>
    </w:p>
    <w:p w:rsidR="00492D7E" w:rsidRDefault="006C0558" w:rsidP="006C0558">
      <w:pPr>
        <w:spacing w:after="0"/>
        <w:jc w:val="both"/>
        <w:rPr>
          <w:rFonts w:ascii="Times New Roman" w:eastAsia="Times New Roman" w:hAnsi="Times New Roman" w:cs="Times New Roman"/>
        </w:rPr>
      </w:pPr>
      <w:r w:rsidRPr="006F0D9D">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4D19BD8C" wp14:editId="6F898304">
                <wp:simplePos x="0" y="0"/>
                <wp:positionH relativeFrom="column">
                  <wp:posOffset>1247775</wp:posOffset>
                </wp:positionH>
                <wp:positionV relativeFrom="paragraph">
                  <wp:posOffset>3295650</wp:posOffset>
                </wp:positionV>
                <wp:extent cx="485775" cy="2190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noFill/>
                        <a:ln w="9525">
                          <a:noFill/>
                          <a:miter lim="800000"/>
                          <a:headEnd/>
                          <a:tailEnd/>
                        </a:ln>
                      </wps:spPr>
                      <wps:txbx>
                        <w:txbxContent>
                          <w:p w:rsidR="005C7BF1" w:rsidRPr="0080174F" w:rsidRDefault="005C7BF1" w:rsidP="0080174F">
                            <w:pPr>
                              <w:rPr>
                                <w:sz w:val="20"/>
                                <w:szCs w:val="20"/>
                                <w:lang w:val="ro-RO"/>
                              </w:rPr>
                            </w:pPr>
                            <w:r w:rsidRPr="0080174F">
                              <w:rPr>
                                <w:sz w:val="20"/>
                                <w:szCs w:val="20"/>
                                <w:lang w:val="ro-RO"/>
                              </w:rP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9BD8C" id="_x0000_t202" coordsize="21600,21600" o:spt="202" path="m,l,21600r21600,l21600,xe">
                <v:stroke joinstyle="miter"/>
                <v:path gradientshapeok="t" o:connecttype="rect"/>
              </v:shapetype>
              <v:shape id="Text Box 2" o:spid="_x0000_s1026" type="#_x0000_t202" style="position:absolute;left:0;text-align:left;margin-left:98.25pt;margin-top:259.5pt;width:38.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" filled="f" stroked="f">
                <v:textbox>
                  <w:txbxContent>
                    <w:p w:rsidR="005C7BF1" w:rsidRPr="0080174F" w:rsidRDefault="005C7BF1" w:rsidP="0080174F">
                      <w:pPr>
                        <w:rPr>
                          <w:sz w:val="20"/>
                          <w:szCs w:val="20"/>
                          <w:lang w:val="ro-RO"/>
                        </w:rPr>
                      </w:pPr>
                      <w:r w:rsidRPr="0080174F">
                        <w:rPr>
                          <w:sz w:val="20"/>
                          <w:szCs w:val="20"/>
                          <w:lang w:val="ro-RO"/>
                        </w:rPr>
                        <w:t>11.1</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71552" behindDoc="0" locked="0" layoutInCell="1" allowOverlap="1" wp14:anchorId="394C3864" wp14:editId="3C1C2A0C">
                <wp:simplePos x="0" y="0"/>
                <wp:positionH relativeFrom="column">
                  <wp:posOffset>638175</wp:posOffset>
                </wp:positionH>
                <wp:positionV relativeFrom="paragraph">
                  <wp:posOffset>1316990</wp:posOffset>
                </wp:positionV>
                <wp:extent cx="485775" cy="238125"/>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Pr>
                                <w:sz w:val="20"/>
                                <w:szCs w:val="20"/>
                                <w:lang w:val="ro-RO"/>
                              </w:rPr>
                              <w:t>20.6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C3864" id="_x0000_s1027" type="#_x0000_t202" style="position:absolute;left:0;text-align:left;margin-left:50.25pt;margin-top:103.7pt;width:38.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" filled="f" stroked="f">
                <v:textbox>
                  <w:txbxContent>
                    <w:p w:rsidR="005C7BF1" w:rsidRPr="0080174F" w:rsidRDefault="005C7BF1" w:rsidP="0080174F">
                      <w:pPr>
                        <w:rPr>
                          <w:sz w:val="20"/>
                          <w:szCs w:val="20"/>
                          <w:lang w:val="ro-RO"/>
                        </w:rPr>
                      </w:pPr>
                      <w:r>
                        <w:rPr>
                          <w:sz w:val="20"/>
                          <w:szCs w:val="20"/>
                          <w:lang w:val="ro-RO"/>
                        </w:rPr>
                        <w:t>20.6</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1F85E068" wp14:editId="6DFECBA6">
                <wp:simplePos x="0" y="0"/>
                <wp:positionH relativeFrom="column">
                  <wp:posOffset>790575</wp:posOffset>
                </wp:positionH>
                <wp:positionV relativeFrom="paragraph">
                  <wp:posOffset>1555115</wp:posOffset>
                </wp:positionV>
                <wp:extent cx="485775" cy="23812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Pr>
                                <w:sz w:val="20"/>
                                <w:szCs w:val="20"/>
                                <w:lang w:val="ro-RO"/>
                              </w:rPr>
                              <w:t>27.7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5E068" id="_x0000_s1028" type="#_x0000_t202" style="position:absolute;left:0;text-align:left;margin-left:62.25pt;margin-top:122.45pt;width:38.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" filled="f" stroked="f">
                <v:textbox>
                  <w:txbxContent>
                    <w:p w:rsidR="005C7BF1" w:rsidRPr="0080174F" w:rsidRDefault="005C7BF1" w:rsidP="0080174F">
                      <w:pPr>
                        <w:rPr>
                          <w:sz w:val="20"/>
                          <w:szCs w:val="20"/>
                          <w:lang w:val="ro-RO"/>
                        </w:rPr>
                      </w:pPr>
                      <w:r>
                        <w:rPr>
                          <w:sz w:val="20"/>
                          <w:szCs w:val="20"/>
                          <w:lang w:val="ro-RO"/>
                        </w:rPr>
                        <w:t>27.7</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62D77F49" wp14:editId="003B0796">
                <wp:simplePos x="0" y="0"/>
                <wp:positionH relativeFrom="column">
                  <wp:posOffset>638175</wp:posOffset>
                </wp:positionH>
                <wp:positionV relativeFrom="paragraph">
                  <wp:posOffset>2107565</wp:posOffset>
                </wp:positionV>
                <wp:extent cx="485775" cy="2381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Pr>
                                <w:sz w:val="20"/>
                                <w:szCs w:val="20"/>
                                <w:lang w:val="ro-RO"/>
                              </w:rPr>
                              <w:t>14.2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77F49" id="_x0000_s1029" type="#_x0000_t202" style="position:absolute;left:0;text-align:left;margin-left:50.25pt;margin-top:165.95pt;width:38.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" filled="f" stroked="f">
                <v:textbox>
                  <w:txbxContent>
                    <w:p w:rsidR="005C7BF1" w:rsidRPr="0080174F" w:rsidRDefault="005C7BF1" w:rsidP="0080174F">
                      <w:pPr>
                        <w:rPr>
                          <w:sz w:val="20"/>
                          <w:szCs w:val="20"/>
                          <w:lang w:val="ro-RO"/>
                        </w:rPr>
                      </w:pPr>
                      <w:r>
                        <w:rPr>
                          <w:sz w:val="20"/>
                          <w:szCs w:val="20"/>
                          <w:lang w:val="ro-RO"/>
                        </w:rPr>
                        <w:t>14.2</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739EC6D4" wp14:editId="2D3E9BD8">
                <wp:simplePos x="0" y="0"/>
                <wp:positionH relativeFrom="column">
                  <wp:posOffset>638175</wp:posOffset>
                </wp:positionH>
                <wp:positionV relativeFrom="paragraph">
                  <wp:posOffset>2574290</wp:posOffset>
                </wp:positionV>
                <wp:extent cx="485775" cy="2381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Pr>
                                <w:sz w:val="20"/>
                                <w:szCs w:val="20"/>
                                <w:lang w:val="ro-RO"/>
                              </w:rPr>
                              <w:t>26.9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6D4" id="_x0000_s1030" type="#_x0000_t202" style="position:absolute;left:0;text-align:left;margin-left:50.25pt;margin-top:202.7pt;width:38.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" filled="f" stroked="f">
                <v:textbox>
                  <w:txbxContent>
                    <w:p w:rsidR="005C7BF1" w:rsidRPr="0080174F" w:rsidRDefault="005C7BF1" w:rsidP="0080174F">
                      <w:pPr>
                        <w:rPr>
                          <w:sz w:val="20"/>
                          <w:szCs w:val="20"/>
                          <w:lang w:val="ro-RO"/>
                        </w:rPr>
                      </w:pPr>
                      <w:r>
                        <w:rPr>
                          <w:sz w:val="20"/>
                          <w:szCs w:val="20"/>
                          <w:lang w:val="ro-RO"/>
                        </w:rPr>
                        <w:t>26.9</w:t>
                      </w:r>
                    </w:p>
                  </w:txbxContent>
                </v:textbox>
              </v:shape>
            </w:pict>
          </mc:Fallback>
        </mc:AlternateContent>
      </w:r>
      <w:r w:rsidR="006F0D9D" w:rsidRPr="006F0D9D">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55ED73AD" wp14:editId="117B9542">
                <wp:simplePos x="0" y="0"/>
                <wp:positionH relativeFrom="column">
                  <wp:posOffset>638175</wp:posOffset>
                </wp:positionH>
                <wp:positionV relativeFrom="paragraph">
                  <wp:posOffset>2688590</wp:posOffset>
                </wp:positionV>
                <wp:extent cx="485775" cy="238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pPr>
                              <w:rPr>
                                <w:sz w:val="20"/>
                                <w:szCs w:val="20"/>
                                <w:lang w:val="ro-RO"/>
                              </w:rPr>
                            </w:pPr>
                            <w:r w:rsidRPr="0080174F">
                              <w:rPr>
                                <w:sz w:val="20"/>
                                <w:szCs w:val="20"/>
                                <w:lang w:val="ro-RO"/>
                              </w:rP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D73AD" id="_x0000_s1031" type="#_x0000_t202" style="position:absolute;left:0;text-align:left;margin-left:50.25pt;margin-top:211.7pt;width:38.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" filled="f" stroked="f">
                <v:textbox>
                  <w:txbxContent>
                    <w:p w:rsidR="005C7BF1" w:rsidRPr="0080174F" w:rsidRDefault="005C7BF1">
                      <w:pPr>
                        <w:rPr>
                          <w:sz w:val="20"/>
                          <w:szCs w:val="20"/>
                          <w:lang w:val="ro-RO"/>
                        </w:rPr>
                      </w:pPr>
                      <w:r w:rsidRPr="0080174F">
                        <w:rPr>
                          <w:sz w:val="20"/>
                          <w:szCs w:val="20"/>
                          <w:lang w:val="ro-RO"/>
                        </w:rPr>
                        <w:t>11.1</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2745BCAC" wp14:editId="3963CA02">
                <wp:simplePos x="0" y="0"/>
                <wp:positionH relativeFrom="column">
                  <wp:posOffset>1095375</wp:posOffset>
                </wp:positionH>
                <wp:positionV relativeFrom="paragraph">
                  <wp:posOffset>3145790</wp:posOffset>
                </wp:positionV>
                <wp:extent cx="485775" cy="2381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sidRPr="0080174F">
                              <w:rPr>
                                <w:sz w:val="20"/>
                                <w:szCs w:val="20"/>
                                <w:lang w:val="ro-RO"/>
                              </w:rP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5BCAC" id="_x0000_s1032" type="#_x0000_t202" style="position:absolute;left:0;text-align:left;margin-left:86.25pt;margin-top:247.7pt;width:38.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" filled="f" stroked="f">
                <v:textbox>
                  <w:txbxContent>
                    <w:p w:rsidR="005C7BF1" w:rsidRPr="0080174F" w:rsidRDefault="005C7BF1" w:rsidP="0080174F">
                      <w:pPr>
                        <w:rPr>
                          <w:sz w:val="20"/>
                          <w:szCs w:val="20"/>
                          <w:lang w:val="ro-RO"/>
                        </w:rPr>
                      </w:pPr>
                      <w:r w:rsidRPr="0080174F">
                        <w:rPr>
                          <w:sz w:val="20"/>
                          <w:szCs w:val="20"/>
                          <w:lang w:val="ro-RO"/>
                        </w:rPr>
                        <w:t>11.1</w:t>
                      </w:r>
                    </w:p>
                  </w:txbxContent>
                </v:textbox>
              </v:shape>
            </w:pict>
          </mc:Fallback>
        </mc:AlternateContent>
      </w:r>
      <w:r w:rsidR="00492D7E">
        <w:rPr>
          <w:rFonts w:ascii="Times New Roman" w:hAnsi="Times New Roman" w:cs="Times New Roman"/>
          <w:b/>
          <w:noProof/>
        </w:rPr>
        <w:drawing>
          <wp:inline distT="0" distB="0" distL="0" distR="0" wp14:anchorId="51B5EF1E" wp14:editId="4BA3345B">
            <wp:extent cx="5486400" cy="35147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92D7E" w:rsidRDefault="00492D7E" w:rsidP="00492D7E">
      <w:pPr>
        <w:spacing w:after="0"/>
        <w:rPr>
          <w:rStyle w:val="Hyperlink"/>
          <w:rFonts w:ascii="Times New Roman" w:eastAsiaTheme="majorEastAsia" w:hAnsi="Times New Roman" w:cs="Times New Roman"/>
          <w:sz w:val="20"/>
          <w:szCs w:val="20"/>
        </w:rPr>
      </w:pPr>
      <w:r w:rsidRPr="00216E7C">
        <w:rPr>
          <w:rFonts w:ascii="Times New Roman" w:hAnsi="Times New Roman" w:cs="Times New Roman"/>
          <w:sz w:val="20"/>
          <w:szCs w:val="20"/>
        </w:rPr>
        <w:lastRenderedPageBreak/>
        <w:t xml:space="preserve">Sursa: </w:t>
      </w:r>
      <w:hyperlink r:id="rId67" w:anchor="id=19308&amp;tab=table" w:history="1">
        <w:r w:rsidRPr="00216E7C">
          <w:rPr>
            <w:rStyle w:val="Hyperlink"/>
            <w:rFonts w:ascii="Times New Roman" w:eastAsiaTheme="majorEastAsia" w:hAnsi="Times New Roman" w:cs="Times New Roman"/>
            <w:sz w:val="20"/>
            <w:szCs w:val="20"/>
          </w:rPr>
          <w:t>https://gateway.euro.who.int/en/indicators/hfa_377-2360-incidence-of-cervix-uteri-cancer-per-100-000/visualizations/#id=19308&amp;tab=table</w:t>
        </w:r>
      </w:hyperlink>
      <w:r>
        <w:rPr>
          <w:rStyle w:val="FootnoteReference"/>
          <w:rFonts w:ascii="Times New Roman" w:eastAsiaTheme="majorEastAsia" w:hAnsi="Times New Roman" w:cs="Times New Roman"/>
          <w:color w:val="0000FF"/>
          <w:sz w:val="20"/>
          <w:szCs w:val="20"/>
          <w:u w:val="single"/>
        </w:rPr>
        <w:footnoteReference w:id="31"/>
      </w:r>
    </w:p>
    <w:p w:rsidR="00621AA0" w:rsidRPr="00A16F0E" w:rsidRDefault="00621AA0" w:rsidP="00621AA0">
      <w:pPr>
        <w:spacing w:after="0"/>
        <w:rPr>
          <w:rFonts w:ascii="Times New Roman" w:hAnsi="Times New Roman" w:cs="Times New Roman"/>
          <w:b/>
          <w:sz w:val="28"/>
          <w:szCs w:val="28"/>
        </w:rPr>
      </w:pPr>
      <w:r w:rsidRPr="00A16F0E">
        <w:rPr>
          <w:rFonts w:ascii="Times New Roman" w:eastAsia="Times New Roman" w:hAnsi="Times New Roman" w:cs="Times New Roman"/>
        </w:rPr>
        <w:t xml:space="preserve">Incidența cancerului de col uterin a scăzut atât în UE, cât și în România,  în perioada 2011-2020,  cu </w:t>
      </w:r>
      <w:r w:rsidR="000A0487" w:rsidRPr="00A16F0E">
        <w:rPr>
          <w:rFonts w:ascii="Times New Roman" w:eastAsia="Times New Roman" w:hAnsi="Times New Roman" w:cs="Times New Roman"/>
        </w:rPr>
        <w:t>aprox. 3%</w:t>
      </w:r>
      <w:r w:rsidR="00A16F0E" w:rsidRPr="00A16F0E">
        <w:rPr>
          <w:rFonts w:ascii="Times New Roman" w:eastAsia="Times New Roman" w:hAnsi="Times New Roman" w:cs="Times New Roman"/>
        </w:rPr>
        <w:t>, respective cu 8%.</w:t>
      </w:r>
      <w:r w:rsidR="000A0487" w:rsidRPr="00A16F0E">
        <w:rPr>
          <w:rFonts w:ascii="Times New Roman" w:eastAsia="Times New Roman" w:hAnsi="Times New Roman" w:cs="Times New Roman"/>
        </w:rPr>
        <w:t xml:space="preserve"> </w:t>
      </w:r>
    </w:p>
    <w:p w:rsidR="00C71359" w:rsidRDefault="00C71359" w:rsidP="00246438">
      <w:pPr>
        <w:spacing w:after="0"/>
        <w:jc w:val="both"/>
        <w:rPr>
          <w:rFonts w:ascii="Times New Roman" w:eastAsia="Times New Roman" w:hAnsi="Times New Roman" w:cs="Times New Roman"/>
          <w:b/>
          <w:bCs/>
        </w:rPr>
      </w:pPr>
    </w:p>
    <w:p w:rsidR="00246438" w:rsidRPr="00D36B6B" w:rsidRDefault="00246438" w:rsidP="00246438">
      <w:pPr>
        <w:spacing w:after="0"/>
        <w:jc w:val="both"/>
        <w:rPr>
          <w:rFonts w:ascii="Times New Roman" w:eastAsiaTheme="majorEastAsia" w:hAnsi="Times New Roman" w:cs="Times New Roman"/>
          <w:color w:val="0000FF"/>
          <w:u w:val="single"/>
          <w:lang w:val="ro-RO"/>
        </w:rPr>
      </w:pPr>
      <w:r w:rsidRPr="00174AF5">
        <w:rPr>
          <w:rFonts w:ascii="Times New Roman" w:eastAsia="Times New Roman" w:hAnsi="Times New Roman" w:cs="Times New Roman"/>
          <w:b/>
          <w:bCs/>
        </w:rPr>
        <w:t>În România</w:t>
      </w:r>
      <w:r w:rsidR="00A16F0E">
        <w:rPr>
          <w:rFonts w:ascii="Times New Roman" w:eastAsia="Times New Roman" w:hAnsi="Times New Roman" w:cs="Times New Roman"/>
          <w:b/>
          <w:bCs/>
        </w:rPr>
        <w:t xml:space="preserve">, </w:t>
      </w:r>
      <w:r w:rsidRPr="00772F7E">
        <w:rPr>
          <w:rFonts w:ascii="Times New Roman" w:eastAsia="Times New Roman" w:hAnsi="Times New Roman" w:cs="Times New Roman"/>
        </w:rPr>
        <w:t>Programul Na</w:t>
      </w:r>
      <w:r w:rsidR="00A16F0E">
        <w:rPr>
          <w:rFonts w:ascii="Times New Roman" w:eastAsia="Times New Roman" w:hAnsi="Times New Roman" w:cs="Times New Roman"/>
        </w:rPr>
        <w:t>ț</w:t>
      </w:r>
      <w:r w:rsidRPr="00772F7E">
        <w:rPr>
          <w:rFonts w:ascii="Times New Roman" w:eastAsia="Times New Roman" w:hAnsi="Times New Roman" w:cs="Times New Roman"/>
        </w:rPr>
        <w:t xml:space="preserve">ional de Screening pentru Cancerul de Col Uterin </w:t>
      </w:r>
      <w:r w:rsidRPr="00772F7E">
        <w:rPr>
          <w:rFonts w:ascii="Times New Roman" w:eastAsia="Times New Roman" w:hAnsi="Times New Roman" w:cs="Times New Roman"/>
          <w:b/>
        </w:rPr>
        <w:t>a demarat în august 2012.</w:t>
      </w:r>
      <w:r w:rsidR="00D36B6B">
        <w:rPr>
          <w:rStyle w:val="FootnoteReference"/>
          <w:rFonts w:ascii="Times New Roman" w:eastAsia="Times New Roman" w:hAnsi="Times New Roman" w:cs="Times New Roman"/>
          <w:b/>
        </w:rPr>
        <w:footnoteReference w:id="32"/>
      </w:r>
      <w:r w:rsidR="00D36B6B">
        <w:rPr>
          <w:rFonts w:ascii="Times New Roman" w:eastAsia="Times New Roman" w:hAnsi="Times New Roman" w:cs="Times New Roman"/>
          <w:b/>
        </w:rPr>
        <w:t xml:space="preserve"> </w:t>
      </w:r>
    </w:p>
    <w:p w:rsidR="00246438" w:rsidRPr="00B850AA" w:rsidRDefault="00246438" w:rsidP="00246438">
      <w:pPr>
        <w:spacing w:after="0" w:line="240" w:lineRule="auto"/>
        <w:jc w:val="both"/>
        <w:rPr>
          <w:rFonts w:ascii="Times New Roman" w:eastAsia="Times New Roman" w:hAnsi="Times New Roman" w:cs="Times New Roman"/>
          <w:sz w:val="24"/>
          <w:szCs w:val="24"/>
          <w:lang w:val="ro-RO"/>
        </w:rPr>
      </w:pPr>
      <w:r w:rsidRPr="00B850AA">
        <w:rPr>
          <w:rFonts w:ascii="Times New Roman" w:eastAsiaTheme="majorEastAsia" w:hAnsi="Times New Roman" w:cs="Times New Roman"/>
          <w:lang w:val="ro-RO"/>
        </w:rPr>
        <w:t xml:space="preserve">Deși situația nu este înregistrată </w:t>
      </w:r>
      <w:r>
        <w:rPr>
          <w:rFonts w:ascii="Times New Roman" w:eastAsiaTheme="majorEastAsia" w:hAnsi="Times New Roman" w:cs="Times New Roman"/>
          <w:lang w:val="ro-RO"/>
        </w:rPr>
        <w:t xml:space="preserve">în totalitate, </w:t>
      </w:r>
      <w:r w:rsidRPr="00B850AA">
        <w:rPr>
          <w:rFonts w:ascii="Times New Roman" w:eastAsiaTheme="majorEastAsia" w:hAnsi="Times New Roman" w:cs="Times New Roman"/>
          <w:lang w:val="ro-RO"/>
        </w:rPr>
        <w:t>în România, serviciile de screening ale cancerului de col uterin a variat între 1.60</w:t>
      </w:r>
      <w:r w:rsidRPr="00B850AA">
        <w:rPr>
          <w:rFonts w:ascii="Times New Roman" w:eastAsia="Times New Roman" w:hAnsi="Times New Roman" w:cs="Times New Roman"/>
        </w:rPr>
        <w:t>‰oo</w:t>
      </w:r>
      <w:r w:rsidRPr="00B850AA">
        <w:rPr>
          <w:rFonts w:ascii="Times New Roman" w:eastAsiaTheme="majorEastAsia" w:hAnsi="Times New Roman" w:cs="Times New Roman"/>
          <w:lang w:val="ro-RO"/>
        </w:rPr>
        <w:t xml:space="preserve"> în 2012 și 3.40</w:t>
      </w:r>
      <w:r w:rsidRPr="00B850AA">
        <w:rPr>
          <w:rFonts w:ascii="Times New Roman" w:eastAsia="Times New Roman" w:hAnsi="Times New Roman" w:cs="Times New Roman"/>
        </w:rPr>
        <w:t>‰oo</w:t>
      </w:r>
      <w:r w:rsidRPr="00B850AA">
        <w:rPr>
          <w:rFonts w:ascii="Times New Roman" w:eastAsiaTheme="majorEastAsia" w:hAnsi="Times New Roman" w:cs="Times New Roman"/>
          <w:lang w:val="ro-RO"/>
        </w:rPr>
        <w:t xml:space="preserve"> în 2020  (o creștere de aprox două ori).</w:t>
      </w:r>
      <w:r w:rsidR="00C71359">
        <w:rPr>
          <w:rStyle w:val="FootnoteReference"/>
          <w:rFonts w:ascii="Times New Roman" w:eastAsiaTheme="majorEastAsia" w:hAnsi="Times New Roman" w:cs="Times New Roman"/>
          <w:lang w:val="ro-RO"/>
        </w:rPr>
        <w:footnoteReference w:id="33"/>
      </w:r>
      <w:r w:rsidRPr="00B850AA">
        <w:rPr>
          <w:rFonts w:ascii="Times New Roman" w:eastAsiaTheme="majorEastAsia" w:hAnsi="Times New Roman" w:cs="Times New Roman"/>
          <w:lang w:val="ro-RO"/>
        </w:rPr>
        <w:t xml:space="preserve"> </w:t>
      </w:r>
    </w:p>
    <w:p w:rsidR="00246438" w:rsidRPr="00772F7E" w:rsidRDefault="00246438" w:rsidP="00246438">
      <w:pPr>
        <w:spacing w:after="0"/>
        <w:jc w:val="both"/>
        <w:rPr>
          <w:rFonts w:ascii="Times New Roman" w:eastAsia="Times New Roman" w:hAnsi="Times New Roman" w:cs="Times New Roman"/>
          <w:b/>
          <w:color w:val="FF0000"/>
          <w:lang w:val="ro-RO"/>
        </w:rPr>
      </w:pPr>
    </w:p>
    <w:p w:rsidR="00246438" w:rsidRPr="00772F7E" w:rsidRDefault="00246438" w:rsidP="00246438">
      <w:pPr>
        <w:spacing w:after="0"/>
        <w:jc w:val="both"/>
        <w:rPr>
          <w:rFonts w:ascii="Times New Roman" w:eastAsia="Times New Roman" w:hAnsi="Times New Roman" w:cs="Times New Roman"/>
        </w:rPr>
      </w:pPr>
      <w:r w:rsidRPr="00772F7E">
        <w:rPr>
          <w:rFonts w:ascii="Times New Roman" w:eastAsia="Times New Roman" w:hAnsi="Times New Roman" w:cs="Times New Roman"/>
        </w:rPr>
        <w:t>Scopurile programului sunt prevenirea și combaterea cancerului de col uterin și întărirea capacității sistemului de sănătate pentru controlul și combaterea cancerului de col uterin la nivel național.</w:t>
      </w:r>
    </w:p>
    <w:p w:rsidR="00246438" w:rsidRPr="00772F7E" w:rsidRDefault="00246438" w:rsidP="00246438">
      <w:pPr>
        <w:spacing w:after="0"/>
        <w:jc w:val="both"/>
        <w:rPr>
          <w:rFonts w:ascii="Times New Roman" w:eastAsia="Times New Roman" w:hAnsi="Times New Roman" w:cs="Times New Roman"/>
        </w:rPr>
      </w:pPr>
      <w:r w:rsidRPr="00772F7E">
        <w:rPr>
          <w:rFonts w:ascii="Times New Roman" w:eastAsia="Times New Roman" w:hAnsi="Times New Roman" w:cs="Times New Roman"/>
        </w:rPr>
        <w:t>Pentru indeplinirea acestor obiective programul oferă testarea gratuită a tuturor femeilor din grupa de vârstă 25-64 ani pe o perioadă de 5 ani.</w:t>
      </w:r>
    </w:p>
    <w:p w:rsidR="00246438" w:rsidRPr="00216E7C" w:rsidRDefault="00246438" w:rsidP="007445D1">
      <w:pPr>
        <w:spacing w:after="0"/>
        <w:rPr>
          <w:rFonts w:ascii="Times New Roman" w:hAnsi="Times New Roman" w:cs="Times New Roman"/>
          <w:sz w:val="20"/>
          <w:szCs w:val="20"/>
        </w:rPr>
      </w:pPr>
    </w:p>
    <w:p w:rsidR="002306FB" w:rsidRPr="008863D8" w:rsidRDefault="008863D8" w:rsidP="008863D8">
      <w:pPr>
        <w:spacing w:after="0"/>
        <w:rPr>
          <w:rFonts w:ascii="Times New Roman" w:eastAsia="Times New Roman" w:hAnsi="Times New Roman" w:cs="Times New Roman"/>
          <w:b/>
        </w:rPr>
      </w:pPr>
      <w:r>
        <w:rPr>
          <w:rFonts w:ascii="Times New Roman" w:eastAsia="Times New Roman" w:hAnsi="Times New Roman" w:cs="Times New Roman"/>
          <w:b/>
        </w:rPr>
        <w:t>PLANIFICAREA FAMILIALĂ ȘI CONTRACEPȚIA</w:t>
      </w:r>
    </w:p>
    <w:p w:rsidR="002306FB" w:rsidRPr="002306FB" w:rsidRDefault="002306FB" w:rsidP="002306FB">
      <w:pPr>
        <w:tabs>
          <w:tab w:val="num" w:pos="900"/>
          <w:tab w:val="num" w:pos="1080"/>
        </w:tabs>
        <w:spacing w:after="0" w:line="240" w:lineRule="auto"/>
        <w:rPr>
          <w:rFonts w:ascii="Times New Roman" w:eastAsiaTheme="majorEastAsia" w:hAnsi="Times New Roman" w:cs="Times New Roman"/>
          <w:u w:val="single"/>
          <w:lang w:val="ro-RO"/>
        </w:rPr>
      </w:pPr>
      <w:r w:rsidRPr="002306FB">
        <w:rPr>
          <w:rFonts w:ascii="Times New Roman" w:eastAsia="Times New Roman" w:hAnsi="Times New Roman" w:cs="Times New Roman"/>
          <w:b/>
          <w:lang w:val="ro-RO"/>
        </w:rPr>
        <w:t>Fig. 2</w:t>
      </w:r>
      <w:r w:rsidR="00022FEA">
        <w:rPr>
          <w:rFonts w:ascii="Times New Roman" w:eastAsia="Times New Roman" w:hAnsi="Times New Roman" w:cs="Times New Roman"/>
          <w:b/>
          <w:lang w:val="ro-RO"/>
        </w:rPr>
        <w:t>8</w:t>
      </w:r>
      <w:r w:rsidRPr="002306FB">
        <w:rPr>
          <w:rFonts w:ascii="Times New Roman" w:eastAsia="Times New Roman" w:hAnsi="Times New Roman" w:cs="Times New Roman"/>
          <w:b/>
          <w:lang w:val="ro-RO"/>
        </w:rPr>
        <w:t>. Prevalența estimată a utilizării metodelor contraceptive prin orice metode, în perioada 2012-2022 (mondial, Europa, Europa de Est și România)</w:t>
      </w:r>
    </w:p>
    <w:p w:rsidR="002306FB" w:rsidRDefault="002306FB" w:rsidP="0093465E">
      <w:pPr>
        <w:spacing w:after="0"/>
        <w:rPr>
          <w:rFonts w:ascii="Times New Roman" w:hAnsi="Times New Roman" w:cs="Times New Roman"/>
          <w:sz w:val="28"/>
          <w:szCs w:val="28"/>
        </w:rPr>
      </w:pPr>
      <w:r w:rsidRPr="00A71A1C">
        <w:rPr>
          <w:rFonts w:ascii="Times New Roman" w:hAnsi="Times New Roman" w:cs="Times New Roman"/>
          <w:b/>
          <w:i/>
          <w:noProof/>
        </w:rPr>
        <w:drawing>
          <wp:inline distT="0" distB="0" distL="0" distR="0" wp14:anchorId="3F747341" wp14:editId="717656F5">
            <wp:extent cx="5943600" cy="12573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306FB" w:rsidRPr="002306FB" w:rsidRDefault="002306FB" w:rsidP="002306FB">
      <w:pPr>
        <w:spacing w:after="0" w:line="240" w:lineRule="auto"/>
        <w:jc w:val="both"/>
        <w:rPr>
          <w:rFonts w:ascii="Times New Roman" w:hAnsi="Times New Roman" w:cs="Times New Roman"/>
          <w:i/>
          <w:sz w:val="20"/>
          <w:szCs w:val="20"/>
          <w:lang w:val="fr-FR"/>
        </w:rPr>
      </w:pPr>
      <w:r w:rsidRPr="002306FB">
        <w:rPr>
          <w:rFonts w:ascii="Times New Roman" w:hAnsi="Times New Roman" w:cs="Times New Roman"/>
          <w:b/>
          <w:i/>
          <w:sz w:val="20"/>
          <w:szCs w:val="20"/>
          <w:lang w:val="fr-FR"/>
        </w:rPr>
        <w:t>Sursa:</w:t>
      </w:r>
      <w:r w:rsidRPr="002306FB">
        <w:rPr>
          <w:rFonts w:ascii="Times New Roman" w:hAnsi="Times New Roman" w:cs="Times New Roman"/>
          <w:i/>
          <w:sz w:val="20"/>
          <w:szCs w:val="20"/>
          <w:lang w:val="fr-FR"/>
        </w:rPr>
        <w:t xml:space="preserve"> Națiunile Unite – Departamentul Afacerilor Economice și Sociale, Divizia Populației,</w:t>
      </w:r>
    </w:p>
    <w:p w:rsidR="002306FB" w:rsidRDefault="00131E62" w:rsidP="002306FB">
      <w:pPr>
        <w:spacing w:after="0"/>
        <w:rPr>
          <w:rFonts w:ascii="Times New Roman" w:hAnsi="Times New Roman" w:cs="Times New Roman"/>
          <w:sz w:val="28"/>
          <w:szCs w:val="28"/>
        </w:rPr>
      </w:pPr>
      <w:hyperlink r:id="rId69" w:history="1">
        <w:r w:rsidR="002306FB" w:rsidRPr="002306FB">
          <w:rPr>
            <w:rFonts w:ascii="Times New Roman" w:hAnsi="Times New Roman" w:cs="Times New Roman"/>
            <w:color w:val="0000FF"/>
            <w:sz w:val="20"/>
            <w:szCs w:val="20"/>
            <w:u w:val="single"/>
            <w:lang w:val="ro-RO"/>
          </w:rPr>
          <w:t>https://population.un.org/dataportal/data/indicators/5/locations/642/start/2012/end/2022/table/pivotbylocation</w:t>
        </w:r>
      </w:hyperlink>
      <w:r w:rsidR="00C71359">
        <w:rPr>
          <w:rStyle w:val="FootnoteReference"/>
          <w:rFonts w:ascii="Times New Roman" w:hAnsi="Times New Roman" w:cs="Times New Roman"/>
          <w:color w:val="0000FF"/>
          <w:sz w:val="20"/>
          <w:szCs w:val="20"/>
          <w:u w:val="single"/>
          <w:lang w:val="ro-RO"/>
        </w:rPr>
        <w:footnoteReference w:id="34"/>
      </w:r>
    </w:p>
    <w:p w:rsidR="002A3401" w:rsidRPr="002A3401" w:rsidRDefault="00022FEA" w:rsidP="002A3401">
      <w:pPr>
        <w:tabs>
          <w:tab w:val="num" w:pos="900"/>
          <w:tab w:val="num" w:pos="1080"/>
        </w:tabs>
        <w:spacing w:after="0" w:line="240" w:lineRule="auto"/>
        <w:rPr>
          <w:rFonts w:ascii="Times New Roman" w:eastAsiaTheme="majorEastAsia" w:hAnsi="Times New Roman" w:cs="Times New Roman"/>
          <w:u w:val="single"/>
          <w:lang w:val="ro-RO"/>
        </w:rPr>
      </w:pPr>
      <w:r>
        <w:rPr>
          <w:rFonts w:ascii="Times New Roman" w:eastAsia="Times New Roman" w:hAnsi="Times New Roman" w:cs="Times New Roman"/>
          <w:b/>
          <w:lang w:val="ro-RO"/>
        </w:rPr>
        <w:t>Fig. 29.</w:t>
      </w:r>
      <w:r w:rsidR="002A3401" w:rsidRPr="002A3401">
        <w:rPr>
          <w:rFonts w:ascii="Times New Roman" w:eastAsia="Times New Roman" w:hAnsi="Times New Roman" w:cs="Times New Roman"/>
          <w:b/>
          <w:lang w:val="ro-RO"/>
        </w:rPr>
        <w:t xml:space="preserve"> Nevoile nesatisfăcute</w:t>
      </w:r>
      <w:r w:rsidR="002A3401" w:rsidRPr="002A3401">
        <w:rPr>
          <w:rFonts w:ascii="Times New Roman" w:eastAsiaTheme="minorEastAsia" w:hAnsi="Times New Roman" w:cs="Times New Roman"/>
          <w:b/>
          <w:lang w:val="ro-RO" w:eastAsia="ro-RO"/>
        </w:rPr>
        <w:t xml:space="preserve"> de planificare familială prin orice metode</w:t>
      </w:r>
      <w:r w:rsidR="002A3401" w:rsidRPr="002A3401">
        <w:rPr>
          <w:rFonts w:ascii="Times New Roman" w:eastAsia="Times New Roman" w:hAnsi="Times New Roman" w:cs="Times New Roman"/>
          <w:b/>
          <w:lang w:val="ro-RO"/>
        </w:rPr>
        <w:t>, în perioada 2012-2022 (mondial, Europa, Europa de Est și România)</w:t>
      </w:r>
    </w:p>
    <w:p w:rsidR="002306FB" w:rsidRDefault="002A3401" w:rsidP="0093465E">
      <w:pPr>
        <w:spacing w:after="0"/>
        <w:rPr>
          <w:rFonts w:ascii="Times New Roman" w:hAnsi="Times New Roman" w:cs="Times New Roman"/>
          <w:sz w:val="28"/>
          <w:szCs w:val="28"/>
        </w:rPr>
      </w:pPr>
      <w:r w:rsidRPr="00A71A1C">
        <w:rPr>
          <w:rFonts w:ascii="Times New Roman" w:hAnsi="Times New Roman" w:cs="Times New Roman"/>
          <w:b/>
          <w:i/>
          <w:noProof/>
        </w:rPr>
        <w:drawing>
          <wp:inline distT="0" distB="0" distL="0" distR="0" wp14:anchorId="4F09BE5B" wp14:editId="43D885BF">
            <wp:extent cx="5943600" cy="13716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A3401" w:rsidRPr="002A3401" w:rsidRDefault="002A3401" w:rsidP="002A3401">
      <w:pPr>
        <w:spacing w:after="0" w:line="240" w:lineRule="auto"/>
        <w:jc w:val="both"/>
        <w:rPr>
          <w:rFonts w:ascii="Times New Roman" w:hAnsi="Times New Roman" w:cs="Times New Roman"/>
          <w:i/>
          <w:sz w:val="20"/>
          <w:szCs w:val="20"/>
          <w:lang w:val="fr-FR"/>
        </w:rPr>
      </w:pPr>
      <w:r w:rsidRPr="002A3401">
        <w:rPr>
          <w:rFonts w:ascii="Times New Roman" w:hAnsi="Times New Roman" w:cs="Times New Roman"/>
          <w:b/>
          <w:i/>
          <w:sz w:val="20"/>
          <w:szCs w:val="20"/>
          <w:lang w:val="fr-FR"/>
        </w:rPr>
        <w:t>Sursa:</w:t>
      </w:r>
      <w:r w:rsidRPr="002A3401">
        <w:rPr>
          <w:rFonts w:ascii="Times New Roman" w:hAnsi="Times New Roman" w:cs="Times New Roman"/>
          <w:i/>
          <w:sz w:val="20"/>
          <w:szCs w:val="20"/>
          <w:lang w:val="fr-FR"/>
        </w:rPr>
        <w:t xml:space="preserve"> Națiunile Unite – Departamentul Afacerilor Economice și Sociale, Divizia Populației,</w:t>
      </w:r>
    </w:p>
    <w:p w:rsidR="002A3401" w:rsidRPr="00C71359" w:rsidRDefault="00131E62" w:rsidP="002A3401">
      <w:pPr>
        <w:spacing w:after="0"/>
        <w:rPr>
          <w:rFonts w:ascii="Times New Roman" w:hAnsi="Times New Roman" w:cs="Times New Roman"/>
          <w:sz w:val="28"/>
          <w:szCs w:val="28"/>
          <w:vertAlign w:val="superscript"/>
        </w:rPr>
      </w:pPr>
      <w:hyperlink r:id="rId71" w:history="1">
        <w:r w:rsidR="002A3401" w:rsidRPr="002A3401">
          <w:rPr>
            <w:rFonts w:ascii="Times New Roman" w:hAnsi="Times New Roman" w:cs="Times New Roman"/>
            <w:color w:val="0000FF"/>
            <w:sz w:val="20"/>
            <w:szCs w:val="20"/>
            <w:u w:val="single"/>
            <w:lang w:val="ro-RO"/>
          </w:rPr>
          <w:t>https://population.un.org/dataportal/data/indicators/5/locations/642/start/2012/end/2022/table/pivotbylocation</w:t>
        </w:r>
      </w:hyperlink>
      <w:r w:rsidR="00C71359">
        <w:rPr>
          <w:rFonts w:ascii="Times New Roman" w:hAnsi="Times New Roman" w:cs="Times New Roman"/>
          <w:color w:val="0000FF"/>
          <w:sz w:val="20"/>
          <w:szCs w:val="20"/>
          <w:u w:val="single"/>
          <w:vertAlign w:val="superscript"/>
          <w:lang w:val="ro-RO"/>
        </w:rPr>
        <w:t>34</w:t>
      </w:r>
    </w:p>
    <w:p w:rsidR="002A3401" w:rsidRPr="00DE3E32" w:rsidRDefault="002A3401" w:rsidP="002A3401">
      <w:pPr>
        <w:spacing w:after="0" w:line="240" w:lineRule="auto"/>
        <w:jc w:val="both"/>
        <w:rPr>
          <w:rFonts w:ascii="Times New Roman" w:eastAsiaTheme="minorEastAsia" w:hAnsi="Times New Roman" w:cs="Times New Roman"/>
          <w:lang w:val="ro-RO" w:eastAsia="ro-RO"/>
        </w:rPr>
      </w:pPr>
      <w:r w:rsidRPr="00DE3E32">
        <w:rPr>
          <w:rFonts w:ascii="Times New Roman" w:eastAsiaTheme="minorEastAsia" w:hAnsi="Times New Roman" w:cs="Times New Roman"/>
          <w:lang w:val="ro-RO" w:eastAsia="ro-RO"/>
        </w:rPr>
        <w:lastRenderedPageBreak/>
        <w:t xml:space="preserve">În perioada 2012-2022, prevalența </w:t>
      </w:r>
      <w:r w:rsidR="00AE49AC" w:rsidRPr="00DE3E32">
        <w:rPr>
          <w:rFonts w:ascii="Times New Roman" w:eastAsiaTheme="minorEastAsia" w:hAnsi="Times New Roman" w:cs="Times New Roman"/>
          <w:lang w:val="ro-RO" w:eastAsia="ro-RO"/>
        </w:rPr>
        <w:t xml:space="preserve">estimată a </w:t>
      </w:r>
      <w:r w:rsidRPr="00DE3E32">
        <w:rPr>
          <w:rFonts w:ascii="Times New Roman" w:eastAsiaTheme="minorEastAsia" w:hAnsi="Times New Roman" w:cs="Times New Roman"/>
          <w:lang w:val="ro-RO" w:eastAsia="ro-RO"/>
        </w:rPr>
        <w:t xml:space="preserve">utilizării contraceptivelor a variat între </w:t>
      </w:r>
      <w:r w:rsidR="00AE49AC" w:rsidRPr="00DE3E32">
        <w:rPr>
          <w:rFonts w:ascii="Times New Roman" w:eastAsiaTheme="minorEastAsia" w:hAnsi="Times New Roman" w:cs="Times New Roman"/>
          <w:lang w:val="ro-RO" w:eastAsia="ro-RO"/>
        </w:rPr>
        <w:t>70.2-7</w:t>
      </w:r>
      <w:r w:rsidRPr="00DE3E32">
        <w:rPr>
          <w:rFonts w:ascii="Times New Roman" w:eastAsiaTheme="minorEastAsia" w:hAnsi="Times New Roman" w:cs="Times New Roman"/>
          <w:lang w:val="ro-RO" w:eastAsia="ro-RO"/>
        </w:rPr>
        <w:t>1%, iar a metodelor moderne între 50.2-57.</w:t>
      </w:r>
      <w:r w:rsidR="00AE49AC" w:rsidRPr="00DE3E32">
        <w:rPr>
          <w:rFonts w:ascii="Times New Roman" w:eastAsiaTheme="minorEastAsia" w:hAnsi="Times New Roman" w:cs="Times New Roman"/>
          <w:lang w:val="ro-RO" w:eastAsia="ro-RO"/>
        </w:rPr>
        <w:t>2</w:t>
      </w:r>
      <w:r w:rsidRPr="00DE3E32">
        <w:rPr>
          <w:rFonts w:ascii="Times New Roman" w:eastAsiaTheme="minorEastAsia" w:hAnsi="Times New Roman" w:cs="Times New Roman"/>
          <w:lang w:val="ro-RO" w:eastAsia="ro-RO"/>
        </w:rPr>
        <w:t xml:space="preserve">%. </w:t>
      </w:r>
    </w:p>
    <w:p w:rsidR="00C71359" w:rsidRDefault="002A3401" w:rsidP="000E46D7">
      <w:pPr>
        <w:spacing w:after="0"/>
        <w:rPr>
          <w:rFonts w:ascii="Times New Roman" w:hAnsi="Times New Roman" w:cs="Times New Roman"/>
          <w:color w:val="FF0000"/>
          <w:sz w:val="20"/>
          <w:szCs w:val="20"/>
          <w:u w:val="single"/>
        </w:rPr>
      </w:pPr>
      <w:r w:rsidRPr="00174AF5">
        <w:rPr>
          <w:rFonts w:ascii="Times New Roman" w:hAnsi="Times New Roman" w:cs="Times New Roman"/>
          <w:b/>
          <w:sz w:val="20"/>
          <w:szCs w:val="20"/>
        </w:rPr>
        <w:t xml:space="preserve">Sursa: </w:t>
      </w:r>
      <w:hyperlink r:id="rId72" w:history="1">
        <w:r w:rsidRPr="00C71359">
          <w:rPr>
            <w:rFonts w:ascii="Times New Roman" w:hAnsi="Times New Roman" w:cs="Times New Roman"/>
            <w:color w:val="0000FF"/>
            <w:sz w:val="20"/>
            <w:szCs w:val="20"/>
            <w:u w:val="single"/>
          </w:rPr>
          <w:t>https://www.unfpa.org/data/world-population/RO</w:t>
        </w:r>
      </w:hyperlink>
      <w:r w:rsidR="00C71359">
        <w:rPr>
          <w:rStyle w:val="FootnoteReference"/>
          <w:rFonts w:ascii="Times New Roman" w:hAnsi="Times New Roman" w:cs="Times New Roman"/>
          <w:color w:val="0000FF"/>
          <w:sz w:val="20"/>
          <w:szCs w:val="20"/>
          <w:u w:val="single"/>
        </w:rPr>
        <w:footnoteReference w:id="35"/>
      </w:r>
      <w:r w:rsidR="000E46D7">
        <w:rPr>
          <w:rFonts w:ascii="Times New Roman" w:hAnsi="Times New Roman" w:cs="Times New Roman"/>
          <w:color w:val="FF0000"/>
          <w:sz w:val="20"/>
          <w:szCs w:val="20"/>
          <w:u w:val="single"/>
        </w:rPr>
        <w:t xml:space="preserve">, </w:t>
      </w:r>
    </w:p>
    <w:p w:rsidR="000E46D7" w:rsidRPr="00C71359" w:rsidRDefault="00131E62" w:rsidP="000E46D7">
      <w:pPr>
        <w:spacing w:after="0"/>
        <w:rPr>
          <w:rFonts w:ascii="Times New Roman" w:hAnsi="Times New Roman" w:cs="Times New Roman"/>
          <w:sz w:val="28"/>
          <w:szCs w:val="28"/>
          <w:vertAlign w:val="superscript"/>
        </w:rPr>
      </w:pPr>
      <w:hyperlink r:id="rId73" w:history="1">
        <w:r w:rsidR="000E46D7" w:rsidRPr="002306FB">
          <w:rPr>
            <w:rFonts w:ascii="Times New Roman" w:hAnsi="Times New Roman" w:cs="Times New Roman"/>
            <w:color w:val="0000FF"/>
            <w:sz w:val="20"/>
            <w:szCs w:val="20"/>
            <w:u w:val="single"/>
            <w:lang w:val="ro-RO"/>
          </w:rPr>
          <w:t>https://population.un.org/dataportal/data/indicators/5/locations/642/start/2012/end/2022/table/pivotbylocation</w:t>
        </w:r>
      </w:hyperlink>
      <w:r w:rsidR="00C71359">
        <w:rPr>
          <w:rFonts w:ascii="Times New Roman" w:hAnsi="Times New Roman" w:cs="Times New Roman"/>
          <w:color w:val="0000FF"/>
          <w:sz w:val="20"/>
          <w:szCs w:val="20"/>
          <w:u w:val="single"/>
          <w:vertAlign w:val="superscript"/>
          <w:lang w:val="ro-RO"/>
        </w:rPr>
        <w:t>34</w:t>
      </w:r>
    </w:p>
    <w:p w:rsidR="00DE3E32" w:rsidRPr="00DE3E32" w:rsidRDefault="002A3401" w:rsidP="00C71359">
      <w:pPr>
        <w:spacing w:after="0" w:line="240" w:lineRule="auto"/>
        <w:jc w:val="both"/>
        <w:rPr>
          <w:rFonts w:ascii="Times New Roman" w:eastAsiaTheme="minorEastAsia" w:hAnsi="Times New Roman" w:cs="Times New Roman"/>
          <w:lang w:val="ro-RO" w:eastAsia="ro-RO"/>
        </w:rPr>
      </w:pPr>
      <w:r w:rsidRPr="00DE3E32">
        <w:rPr>
          <w:rFonts w:ascii="Times New Roman" w:eastAsiaTheme="minorEastAsia" w:hAnsi="Times New Roman" w:cs="Times New Roman"/>
          <w:lang w:val="ro-RO" w:eastAsia="ro-RO"/>
        </w:rPr>
        <w:t xml:space="preserve">În aceeași perioadă, </w:t>
      </w:r>
      <w:r w:rsidR="00C71359">
        <w:rPr>
          <w:rFonts w:ascii="Times New Roman" w:eastAsiaTheme="minorEastAsia" w:hAnsi="Times New Roman" w:cs="Times New Roman"/>
          <w:lang w:val="ro-RO" w:eastAsia="ro-RO"/>
        </w:rPr>
        <w:t>n</w:t>
      </w:r>
      <w:r w:rsidR="00DE3E32" w:rsidRPr="00DE3E32">
        <w:rPr>
          <w:rFonts w:ascii="Times New Roman" w:eastAsia="Times New Roman" w:hAnsi="Times New Roman" w:cs="Times New Roman"/>
          <w:b/>
          <w:lang w:val="ro-RO"/>
        </w:rPr>
        <w:t>evoile nesatisfăcute</w:t>
      </w:r>
      <w:r w:rsidR="00DE3E32" w:rsidRPr="00DE3E32">
        <w:rPr>
          <w:rFonts w:ascii="Times New Roman" w:eastAsiaTheme="minorEastAsia" w:hAnsi="Times New Roman" w:cs="Times New Roman"/>
          <w:b/>
          <w:lang w:val="ro-RO" w:eastAsia="ro-RO"/>
        </w:rPr>
        <w:t xml:space="preserve"> de planificare familială prin orice metode</w:t>
      </w:r>
      <w:r w:rsidR="00DE3E32" w:rsidRPr="00DE3E32">
        <w:rPr>
          <w:rFonts w:ascii="Times New Roman" w:eastAsiaTheme="minorEastAsia" w:hAnsi="Times New Roman" w:cs="Times New Roman"/>
          <w:lang w:val="ro-RO" w:eastAsia="ro-RO"/>
        </w:rPr>
        <w:t xml:space="preserve"> au</w:t>
      </w:r>
      <w:r w:rsidRPr="00DE3E32">
        <w:rPr>
          <w:rFonts w:ascii="Times New Roman" w:eastAsiaTheme="minorEastAsia" w:hAnsi="Times New Roman" w:cs="Times New Roman"/>
          <w:lang w:val="ro-RO" w:eastAsia="ro-RO"/>
        </w:rPr>
        <w:t xml:space="preserve"> variat între </w:t>
      </w:r>
      <w:r w:rsidR="00C71359">
        <w:rPr>
          <w:rFonts w:ascii="Times New Roman" w:eastAsiaTheme="minorEastAsia" w:hAnsi="Times New Roman" w:cs="Times New Roman"/>
          <w:lang w:val="ro-RO" w:eastAsia="ro-RO"/>
        </w:rPr>
        <w:t>8,2% in Europa si 7,9% î</w:t>
      </w:r>
      <w:r w:rsidR="00DE3E32" w:rsidRPr="00DE3E32">
        <w:rPr>
          <w:rFonts w:ascii="Times New Roman" w:eastAsiaTheme="minorEastAsia" w:hAnsi="Times New Roman" w:cs="Times New Roman"/>
          <w:lang w:val="ro-RO" w:eastAsia="ro-RO"/>
        </w:rPr>
        <w:t>n Romania.</w:t>
      </w:r>
    </w:p>
    <w:p w:rsidR="00C71359" w:rsidRDefault="00C71359" w:rsidP="0093465E">
      <w:pPr>
        <w:spacing w:after="0"/>
        <w:rPr>
          <w:rFonts w:ascii="Times New Roman" w:hAnsi="Times New Roman" w:cs="Times New Roman"/>
          <w:b/>
          <w:sz w:val="28"/>
          <w:szCs w:val="28"/>
        </w:rPr>
      </w:pPr>
    </w:p>
    <w:p w:rsidR="00A32261" w:rsidRPr="00D97E0F" w:rsidRDefault="00A32261" w:rsidP="0093465E">
      <w:pPr>
        <w:spacing w:after="0"/>
        <w:rPr>
          <w:rFonts w:ascii="Times New Roman" w:hAnsi="Times New Roman" w:cs="Times New Roman"/>
          <w:b/>
          <w:sz w:val="28"/>
          <w:szCs w:val="28"/>
        </w:rPr>
      </w:pPr>
      <w:r w:rsidRPr="00D97E0F">
        <w:rPr>
          <w:rFonts w:ascii="Times New Roman" w:hAnsi="Times New Roman" w:cs="Times New Roman"/>
          <w:b/>
          <w:sz w:val="28"/>
          <w:szCs w:val="28"/>
        </w:rPr>
        <w:t>Date cu rezultate relevante din studii naționale, europene și internaționale</w:t>
      </w:r>
    </w:p>
    <w:p w:rsidR="007A282C" w:rsidRPr="00495C9C" w:rsidRDefault="007A282C" w:rsidP="007A282C">
      <w:pPr>
        <w:pStyle w:val="ListParagraph"/>
        <w:numPr>
          <w:ilvl w:val="0"/>
          <w:numId w:val="16"/>
        </w:numPr>
        <w:spacing w:after="0"/>
        <w:jc w:val="both"/>
        <w:rPr>
          <w:rFonts w:ascii="Times New Roman" w:hAnsi="Times New Roman" w:cs="Times New Roman"/>
          <w:b/>
        </w:rPr>
      </w:pPr>
      <w:r w:rsidRPr="00495C9C">
        <w:rPr>
          <w:rFonts w:ascii="Times New Roman" w:hAnsi="Times New Roman" w:cs="Times New Roman"/>
          <w:b/>
        </w:rPr>
        <w:t>Autoadministrarea contraceptivelor injectrabile, OMS, actualizare 2022</w:t>
      </w:r>
    </w:p>
    <w:p w:rsidR="00A32261" w:rsidRPr="007A282C" w:rsidRDefault="00A32261" w:rsidP="007A282C">
      <w:pPr>
        <w:spacing w:after="0"/>
        <w:ind w:left="75"/>
        <w:jc w:val="both"/>
        <w:rPr>
          <w:rFonts w:ascii="Times New Roman" w:hAnsi="Times New Roman" w:cs="Times New Roman"/>
        </w:rPr>
      </w:pPr>
      <w:r w:rsidRPr="007A282C">
        <w:rPr>
          <w:rFonts w:ascii="Times New Roman" w:hAnsi="Times New Roman" w:cs="Times New Roman"/>
        </w:rPr>
        <w:t>Utilizarea contraceptivelor moderne în 2017 a prevenit aproximativ 308 milioane de sarcini neintenționate. Satisfacerea nevoii oamenilor de metode moderne de contraceptie ar evita inca 67 de milioane de sarcini nedorite, anual.</w:t>
      </w:r>
    </w:p>
    <w:p w:rsidR="00A32261" w:rsidRPr="00383D6B" w:rsidRDefault="00A32261" w:rsidP="006235D5">
      <w:pPr>
        <w:spacing w:after="0"/>
        <w:jc w:val="both"/>
        <w:rPr>
          <w:rFonts w:ascii="Times New Roman" w:hAnsi="Times New Roman" w:cs="Times New Roman"/>
        </w:rPr>
      </w:pPr>
      <w:r w:rsidRPr="00383D6B">
        <w:rPr>
          <w:rFonts w:ascii="Times New Roman" w:hAnsi="Times New Roman" w:cs="Times New Roman"/>
        </w:rPr>
        <w:t>Dovezile au constatat rate semnificativ mai mari de continuare a contraceptivelor cu autoadministrare în comparație cu administrarea de către un lucrător medical.</w:t>
      </w:r>
    </w:p>
    <w:p w:rsidR="00A32261" w:rsidRPr="00383D6B" w:rsidRDefault="00A32261" w:rsidP="006235D5">
      <w:pPr>
        <w:spacing w:after="0"/>
        <w:jc w:val="both"/>
        <w:rPr>
          <w:rFonts w:ascii="Times New Roman" w:hAnsi="Times New Roman" w:cs="Times New Roman"/>
        </w:rPr>
      </w:pPr>
      <w:r w:rsidRPr="00383D6B">
        <w:rPr>
          <w:rFonts w:ascii="Times New Roman" w:hAnsi="Times New Roman" w:cs="Times New Roman"/>
        </w:rPr>
        <w:t>OMS recomandă ca contracepția injectabilă autoadministrată (acetat de medroxiprogesteron depozit în forma sa subcutanată – DMPA SC) să fie disponibilă ca o abordare suplimentară pentru administrarea contracepției injectabile pentru persoanele de vârstă reproductivă.</w:t>
      </w:r>
      <w:r w:rsidR="00C71359">
        <w:rPr>
          <w:rStyle w:val="FootnoteReference"/>
          <w:rFonts w:ascii="Times New Roman" w:hAnsi="Times New Roman" w:cs="Times New Roman"/>
        </w:rPr>
        <w:footnoteReference w:id="36"/>
      </w:r>
      <w:r w:rsidRPr="00383D6B">
        <w:rPr>
          <w:rFonts w:ascii="Times New Roman" w:hAnsi="Times New Roman" w:cs="Times New Roman"/>
        </w:rPr>
        <w:t xml:space="preserve"> </w:t>
      </w:r>
    </w:p>
    <w:p w:rsidR="006235D5" w:rsidRPr="00495C9C" w:rsidRDefault="00D97E0F" w:rsidP="006235D5">
      <w:pPr>
        <w:pStyle w:val="ListParagraph"/>
        <w:numPr>
          <w:ilvl w:val="0"/>
          <w:numId w:val="16"/>
        </w:numPr>
        <w:spacing w:after="0"/>
        <w:jc w:val="both"/>
        <w:rPr>
          <w:rFonts w:ascii="Times New Roman" w:hAnsi="Times New Roman" w:cs="Times New Roman"/>
          <w:b/>
        </w:rPr>
      </w:pPr>
      <w:r w:rsidRPr="00495C9C">
        <w:rPr>
          <w:rFonts w:ascii="Times New Roman" w:hAnsi="Times New Roman" w:cs="Times New Roman"/>
          <w:b/>
        </w:rPr>
        <w:t>Considerații critice și acțiuni pentru realizarea accesului universal la sănătatea sexuală și reproductivă în contextul acoperirii universale a sănătății printr-o abordare a asistenței medicale primare</w:t>
      </w:r>
      <w:r w:rsidR="007A282C" w:rsidRPr="00495C9C">
        <w:rPr>
          <w:rFonts w:ascii="Times New Roman" w:hAnsi="Times New Roman" w:cs="Times New Roman"/>
          <w:b/>
        </w:rPr>
        <w:t>, OMS, 2022</w:t>
      </w:r>
    </w:p>
    <w:p w:rsidR="006235D5" w:rsidRPr="00383D6B" w:rsidRDefault="006235D5" w:rsidP="006235D5">
      <w:pPr>
        <w:spacing w:after="0"/>
        <w:ind w:left="75"/>
        <w:jc w:val="both"/>
        <w:rPr>
          <w:rFonts w:ascii="Times New Roman" w:hAnsi="Times New Roman" w:cs="Times New Roman"/>
        </w:rPr>
      </w:pPr>
      <w:r w:rsidRPr="00383D6B">
        <w:rPr>
          <w:rFonts w:ascii="Times New Roman" w:hAnsi="Times New Roman" w:cs="Times New Roman"/>
        </w:rPr>
        <w:t>Obiectivul Considerațiilor și acțiunilor esențiale pentru realizarea accesului universal la sănătatea sexuală și reproductivă în contextul acoperirii universale a sănătății printr-o abordare a asistenței medicale primare este de a oferi îndrumări statelor membre ale OMS pentru asigurarea progresului către accesul universal la sănătatea sexuală și reproductivă în contextul reformelor politicilor și strategiilor legate de asistența medicală primară și ac</w:t>
      </w:r>
      <w:r w:rsidR="00C71359">
        <w:rPr>
          <w:rFonts w:ascii="Times New Roman" w:hAnsi="Times New Roman" w:cs="Times New Roman"/>
        </w:rPr>
        <w:t>operirea universală a sănătății</w:t>
      </w:r>
      <w:r w:rsidRPr="00383D6B">
        <w:rPr>
          <w:rFonts w:ascii="Times New Roman" w:hAnsi="Times New Roman" w:cs="Times New Roman"/>
        </w:rPr>
        <w:t>.</w:t>
      </w:r>
      <w:r w:rsidR="00C71359">
        <w:rPr>
          <w:rStyle w:val="FootnoteReference"/>
          <w:rFonts w:ascii="Times New Roman" w:hAnsi="Times New Roman" w:cs="Times New Roman"/>
        </w:rPr>
        <w:footnoteReference w:id="37"/>
      </w:r>
    </w:p>
    <w:p w:rsidR="00E3331D" w:rsidRPr="00383D6B" w:rsidRDefault="00E3331D" w:rsidP="006235D5">
      <w:pPr>
        <w:pStyle w:val="ListParagraph"/>
        <w:spacing w:after="0"/>
        <w:ind w:left="435"/>
        <w:jc w:val="both"/>
        <w:rPr>
          <w:rFonts w:ascii="Times New Roman" w:hAnsi="Times New Roman" w:cs="Times New Roman"/>
        </w:rPr>
      </w:pPr>
    </w:p>
    <w:p w:rsidR="006235D5" w:rsidRPr="00E3331D" w:rsidRDefault="00E3331D" w:rsidP="004F6822">
      <w:pPr>
        <w:pStyle w:val="Heading1"/>
        <w:numPr>
          <w:ilvl w:val="0"/>
          <w:numId w:val="16"/>
        </w:numPr>
        <w:spacing w:before="0"/>
        <w:rPr>
          <w:rStyle w:val="Emphasis"/>
          <w:rFonts w:ascii="Times New Roman" w:hAnsi="Times New Roman" w:cs="Times New Roman"/>
          <w:sz w:val="22"/>
          <w:szCs w:val="22"/>
        </w:rPr>
      </w:pPr>
      <w:r>
        <w:rPr>
          <w:rFonts w:ascii="Times New Roman" w:hAnsi="Times New Roman" w:cs="Times New Roman"/>
          <w:sz w:val="22"/>
          <w:szCs w:val="22"/>
        </w:rPr>
        <w:t xml:space="preserve">Mamele adolescente și părinții tineri, o privire dincolo de statistici , </w:t>
      </w:r>
      <w:r w:rsidRPr="00E3331D">
        <w:rPr>
          <w:rStyle w:val="Emphasis"/>
          <w:rFonts w:ascii="Times New Roman" w:hAnsi="Times New Roman" w:cs="Times New Roman"/>
          <w:sz w:val="22"/>
          <w:szCs w:val="22"/>
        </w:rPr>
        <w:t>Copii cu copii. Mame minore.</w:t>
      </w:r>
      <w:r w:rsidR="007A282C" w:rsidRPr="007A282C">
        <w:rPr>
          <w:rStyle w:val="Emphasis"/>
          <w:rFonts w:ascii="Times New Roman" w:hAnsi="Times New Roman" w:cs="Times New Roman"/>
          <w:i w:val="0"/>
          <w:sz w:val="22"/>
          <w:szCs w:val="22"/>
        </w:rPr>
        <w:t>Unicef România, 2022</w:t>
      </w:r>
    </w:p>
    <w:p w:rsidR="00E3331D" w:rsidRDefault="005041F2" w:rsidP="00E3331D">
      <w:pPr>
        <w:spacing w:after="0"/>
        <w:jc w:val="both"/>
        <w:rPr>
          <w:rStyle w:val="Emphasis"/>
          <w:rFonts w:ascii="Times New Roman" w:hAnsi="Times New Roman" w:cs="Times New Roman"/>
          <w:i w:val="0"/>
        </w:rPr>
      </w:pPr>
      <w:r w:rsidRPr="00E3331D">
        <w:rPr>
          <w:rStyle w:val="Emphasis"/>
          <w:rFonts w:ascii="Times New Roman" w:hAnsi="Times New Roman" w:cs="Times New Roman"/>
        </w:rPr>
        <w:t>În 2020, în România, 16.566 de tinere sub 18 ani au devenit mame, conform datelor INSEE</w:t>
      </w:r>
      <w:r w:rsidRPr="00E3331D">
        <w:rPr>
          <w:rStyle w:val="Emphasis"/>
          <w:rFonts w:ascii="Times New Roman" w:hAnsi="Times New Roman" w:cs="Times New Roman"/>
          <w:i w:val="0"/>
        </w:rPr>
        <w:t xml:space="preserve"> </w:t>
      </w:r>
      <w:r>
        <w:rPr>
          <w:rStyle w:val="Emphasis"/>
          <w:rFonts w:ascii="Times New Roman" w:hAnsi="Times New Roman" w:cs="Times New Roman"/>
          <w:i w:val="0"/>
        </w:rPr>
        <w:t xml:space="preserve">. </w:t>
      </w:r>
      <w:r w:rsidR="00E3331D" w:rsidRPr="00E3331D">
        <w:rPr>
          <w:rStyle w:val="Emphasis"/>
          <w:rFonts w:ascii="Times New Roman" w:hAnsi="Times New Roman" w:cs="Times New Roman"/>
          <w:i w:val="0"/>
        </w:rPr>
        <w:t xml:space="preserve">Pentru </w:t>
      </w:r>
      <w:r w:rsidR="004F6822">
        <w:rPr>
          <w:rStyle w:val="Emphasis"/>
          <w:rFonts w:ascii="Times New Roman" w:hAnsi="Times New Roman" w:cs="Times New Roman"/>
          <w:i w:val="0"/>
        </w:rPr>
        <w:t>identificarea</w:t>
      </w:r>
      <w:r w:rsidR="00E3331D" w:rsidRPr="00E3331D">
        <w:rPr>
          <w:rStyle w:val="Emphasis"/>
          <w:rFonts w:ascii="Times New Roman" w:hAnsi="Times New Roman" w:cs="Times New Roman"/>
          <w:i w:val="0"/>
        </w:rPr>
        <w:t xml:space="preserve">  nevoil</w:t>
      </w:r>
      <w:r w:rsidR="004F6822">
        <w:rPr>
          <w:rStyle w:val="Emphasis"/>
          <w:rFonts w:ascii="Times New Roman" w:hAnsi="Times New Roman" w:cs="Times New Roman"/>
          <w:i w:val="0"/>
        </w:rPr>
        <w:t xml:space="preserve">or </w:t>
      </w:r>
      <w:r w:rsidR="00E3331D" w:rsidRPr="00E3331D">
        <w:rPr>
          <w:rStyle w:val="Emphasis"/>
          <w:rFonts w:ascii="Times New Roman" w:hAnsi="Times New Roman" w:cs="Times New Roman"/>
          <w:i w:val="0"/>
        </w:rPr>
        <w:t>reale de sprijin și servicii pentru mamele adolescente, tații tineri și/sau copiii acestora, 6 focus grupuri on-line au fost organizate  în 5 județe cu un număr mare de mame minore: Iași, Bacău, Brașov, Dolj și Mureș, cu participarea multidisciplinară a unor cadre medicale din spitale și comunități, specialiști din domeniul asistenței sociale (DGASPC, maternități, SPAS, primării), reprezentanți ai Inspectoratelor de poliție sau din judecătorii, mediatori sanitari, mediatori școlari, lideri comunitari și reprezentanți ai unor organizații neguvernamentale.</w:t>
      </w:r>
      <w:r w:rsidR="00C71359">
        <w:rPr>
          <w:rStyle w:val="FootnoteReference"/>
          <w:rFonts w:ascii="Times New Roman" w:hAnsi="Times New Roman" w:cs="Times New Roman"/>
          <w:iCs/>
        </w:rPr>
        <w:footnoteReference w:id="38"/>
      </w:r>
    </w:p>
    <w:p w:rsidR="00CE39BA" w:rsidRDefault="00CE39BA" w:rsidP="00E3331D">
      <w:pPr>
        <w:spacing w:after="0"/>
        <w:jc w:val="both"/>
        <w:rPr>
          <w:rStyle w:val="Emphasis"/>
          <w:rFonts w:ascii="Times New Roman" w:hAnsi="Times New Roman" w:cs="Times New Roman"/>
          <w:i w:val="0"/>
        </w:rPr>
      </w:pPr>
    </w:p>
    <w:p w:rsidR="00CE39BA" w:rsidRDefault="00CE39BA" w:rsidP="00E3331D">
      <w:pPr>
        <w:spacing w:after="0"/>
        <w:jc w:val="both"/>
        <w:rPr>
          <w:rStyle w:val="Emphasis"/>
          <w:rFonts w:ascii="Times New Roman" w:hAnsi="Times New Roman" w:cs="Times New Roman"/>
          <w:i w:val="0"/>
        </w:rPr>
      </w:pPr>
    </w:p>
    <w:p w:rsidR="00CE39BA" w:rsidRDefault="00CE39BA" w:rsidP="00E3331D">
      <w:pPr>
        <w:spacing w:after="0"/>
        <w:jc w:val="both"/>
        <w:rPr>
          <w:rFonts w:ascii="Times New Roman" w:hAnsi="Times New Roman" w:cs="Times New Roman"/>
          <w:b/>
          <w:bCs/>
          <w:sz w:val="28"/>
          <w:szCs w:val="28"/>
          <w:lang w:val="ro-RO"/>
        </w:rPr>
      </w:pPr>
      <w:r w:rsidRPr="00CE39BA">
        <w:rPr>
          <w:rFonts w:ascii="Times New Roman" w:hAnsi="Times New Roman" w:cs="Times New Roman"/>
          <w:b/>
          <w:bCs/>
          <w:sz w:val="28"/>
          <w:szCs w:val="28"/>
          <w:lang w:val="ro-RO"/>
        </w:rPr>
        <w:lastRenderedPageBreak/>
        <w:t>Rezultatele obținute în urma aplicării și analizei rezultatelor din chestionarele KAP</w:t>
      </w:r>
    </w:p>
    <w:p w:rsidR="008339ED" w:rsidRDefault="00CE39BA" w:rsidP="009F7AD1">
      <w:pPr>
        <w:spacing w:after="0" w:line="360" w:lineRule="auto"/>
        <w:jc w:val="both"/>
        <w:rPr>
          <w:rStyle w:val="Emphasis"/>
          <w:rFonts w:ascii="Times New Roman" w:hAnsi="Times New Roman" w:cs="Times New Roman"/>
          <w:i w:val="0"/>
        </w:rPr>
      </w:pPr>
      <w:r w:rsidRPr="00CE39BA">
        <w:rPr>
          <w:rStyle w:val="Emphasis"/>
          <w:rFonts w:ascii="Times New Roman" w:hAnsi="Times New Roman" w:cs="Times New Roman"/>
          <w:i w:val="0"/>
        </w:rPr>
        <w:t xml:space="preserve">Chestionarul a fost elaborat de specialiștii Institutului Național de Sănătate Publică pentru a evalua </w:t>
      </w:r>
      <w:r>
        <w:rPr>
          <w:rStyle w:val="Emphasis"/>
          <w:rFonts w:ascii="Times New Roman" w:hAnsi="Times New Roman" w:cs="Times New Roman"/>
          <w:i w:val="0"/>
        </w:rPr>
        <w:t>cunoștințele populației generale privind sănătatea reproducerii cât și comportamentul reproductiv</w:t>
      </w:r>
      <w:r w:rsidRPr="00CE39BA">
        <w:rPr>
          <w:rStyle w:val="Emphasis"/>
          <w:rFonts w:ascii="Times New Roman" w:hAnsi="Times New Roman" w:cs="Times New Roman"/>
          <w:i w:val="0"/>
        </w:rPr>
        <w:t>. Chestionarul cu 2</w:t>
      </w:r>
      <w:r>
        <w:rPr>
          <w:rStyle w:val="Emphasis"/>
          <w:rFonts w:ascii="Times New Roman" w:hAnsi="Times New Roman" w:cs="Times New Roman"/>
          <w:i w:val="0"/>
        </w:rPr>
        <w:t>6</w:t>
      </w:r>
      <w:r w:rsidRPr="00CE39BA">
        <w:rPr>
          <w:rStyle w:val="Emphasis"/>
          <w:rFonts w:ascii="Times New Roman" w:hAnsi="Times New Roman" w:cs="Times New Roman"/>
          <w:i w:val="0"/>
        </w:rPr>
        <w:t xml:space="preserve"> de întrebări a fost anonim și a avut </w:t>
      </w:r>
      <w:r>
        <w:rPr>
          <w:rStyle w:val="Emphasis"/>
          <w:rFonts w:ascii="Times New Roman" w:hAnsi="Times New Roman" w:cs="Times New Roman"/>
          <w:i w:val="0"/>
        </w:rPr>
        <w:t>558</w:t>
      </w:r>
      <w:r w:rsidRPr="00CE39BA">
        <w:rPr>
          <w:rStyle w:val="Emphasis"/>
          <w:rFonts w:ascii="Times New Roman" w:hAnsi="Times New Roman" w:cs="Times New Roman"/>
          <w:i w:val="0"/>
        </w:rPr>
        <w:t xml:space="preserve"> de răspunsuri</w:t>
      </w:r>
      <w:r w:rsidR="00A61374">
        <w:rPr>
          <w:rStyle w:val="Emphasis"/>
          <w:rFonts w:ascii="Times New Roman" w:hAnsi="Times New Roman" w:cs="Times New Roman"/>
          <w:i w:val="0"/>
        </w:rPr>
        <w:t>. Un procent de 45,7% dintre respondenți au fost din mediul urban și 54,3% din mediul rural. 95,3% au fost femei, având studii postliceale, 30,6</w:t>
      </w:r>
      <w:r w:rsidR="009F7AD1">
        <w:rPr>
          <w:rStyle w:val="Emphasis"/>
          <w:rFonts w:ascii="Times New Roman" w:hAnsi="Times New Roman" w:cs="Times New Roman"/>
          <w:i w:val="0"/>
        </w:rPr>
        <w:t xml:space="preserve">% </w:t>
      </w:r>
      <w:r w:rsidR="00A61374">
        <w:rPr>
          <w:rStyle w:val="Emphasis"/>
          <w:rFonts w:ascii="Times New Roman" w:hAnsi="Times New Roman" w:cs="Times New Roman"/>
          <w:i w:val="0"/>
        </w:rPr>
        <w:t>studii universitare</w:t>
      </w:r>
      <w:r w:rsidR="008339ED">
        <w:rPr>
          <w:rStyle w:val="Emphasis"/>
          <w:rFonts w:ascii="Times New Roman" w:hAnsi="Times New Roman" w:cs="Times New Roman"/>
          <w:i w:val="0"/>
        </w:rPr>
        <w:t>, 10,6% studii postuniversitare, 10,6% studii liceale și într-o proporție mai mic</w:t>
      </w:r>
      <w:r w:rsidR="009F7AD1">
        <w:rPr>
          <w:rStyle w:val="Emphasis"/>
          <w:rFonts w:ascii="Times New Roman" w:hAnsi="Times New Roman" w:cs="Times New Roman"/>
          <w:i w:val="0"/>
          <w:lang w:val="ro-RO"/>
        </w:rPr>
        <w:t>ă</w:t>
      </w:r>
      <w:r w:rsidR="008339ED">
        <w:rPr>
          <w:rStyle w:val="Emphasis"/>
          <w:rFonts w:ascii="Times New Roman" w:hAnsi="Times New Roman" w:cs="Times New Roman"/>
          <w:i w:val="0"/>
        </w:rPr>
        <w:t>, studii gimnaziale. În cea mai mare parte, 90,6% dintre responde</w:t>
      </w:r>
      <w:r w:rsidR="001E7477">
        <w:rPr>
          <w:rStyle w:val="Emphasis"/>
          <w:rFonts w:ascii="Times New Roman" w:hAnsi="Times New Roman" w:cs="Times New Roman"/>
          <w:i w:val="0"/>
        </w:rPr>
        <w:t>nț</w:t>
      </w:r>
      <w:r w:rsidR="008339ED">
        <w:rPr>
          <w:rStyle w:val="Emphasis"/>
          <w:rFonts w:ascii="Times New Roman" w:hAnsi="Times New Roman" w:cs="Times New Roman"/>
          <w:i w:val="0"/>
        </w:rPr>
        <w:t xml:space="preserve">i sunt salariați. </w:t>
      </w:r>
    </w:p>
    <w:p w:rsidR="008339ED" w:rsidRDefault="008339ED"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Cu privire la numărul de avorturi, în cea mai mare parte, respondenții declară că nu au avut nici un avort.</w:t>
      </w:r>
    </w:p>
    <w:p w:rsidR="00CE39BA" w:rsidRDefault="00A61374"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 </w:t>
      </w:r>
      <w:r w:rsidR="008339ED">
        <w:rPr>
          <w:noProof/>
        </w:rPr>
        <w:drawing>
          <wp:inline distT="0" distB="0" distL="0" distR="0" wp14:anchorId="442F7CBA" wp14:editId="1E0A37A6">
            <wp:extent cx="5469774" cy="2143125"/>
            <wp:effectExtent l="0" t="0" r="0" b="0"/>
            <wp:docPr id="98" name="Google Shape;98;p19" descr="Diagramă a răspunsurilor din Formulare. Titlul întrebării: 8. Dacă sunteți de gen feminin, câte avorturi ați avut?&#10;. Numărul de răspunsuri: 556 de răspunsuri." title="8. Dacă sunteți de gen feminin, câte avorturi ați avut?&#10;"/>
            <wp:cNvGraphicFramePr/>
            <a:graphic xmlns:a="http://schemas.openxmlformats.org/drawingml/2006/main">
              <a:graphicData uri="http://schemas.openxmlformats.org/drawingml/2006/picture">
                <pic:pic xmlns:pic="http://schemas.openxmlformats.org/drawingml/2006/picture">
                  <pic:nvPicPr>
                    <pic:cNvPr id="98" name="Google Shape;98;p19" descr="Diagramă a răspunsurilor din Formulare. Titlul întrebării: 8. Dacă sunteți de gen feminin, câte avorturi ați avut?&#10;. Numărul de răspunsuri: 556 de răspunsuri." title="8. Dacă sunteți de gen feminin, câte avorturi ați avut?&#10;"/>
                    <pic:cNvPicPr preferRelativeResize="0"/>
                  </pic:nvPicPr>
                  <pic:blipFill>
                    <a:blip r:embed="rId74">
                      <a:alphaModFix/>
                    </a:blip>
                    <a:stretch>
                      <a:fillRect/>
                    </a:stretch>
                  </pic:blipFill>
                  <pic:spPr>
                    <a:xfrm>
                      <a:off x="0" y="0"/>
                      <a:ext cx="5477069" cy="2145983"/>
                    </a:xfrm>
                    <a:prstGeom prst="rect">
                      <a:avLst/>
                    </a:prstGeom>
                    <a:noFill/>
                    <a:ln>
                      <a:noFill/>
                    </a:ln>
                  </pic:spPr>
                </pic:pic>
              </a:graphicData>
            </a:graphic>
          </wp:inline>
        </w:drawing>
      </w:r>
    </w:p>
    <w:p w:rsidR="008339ED" w:rsidRDefault="008339ED" w:rsidP="00E3331D">
      <w:pPr>
        <w:spacing w:after="0"/>
        <w:jc w:val="both"/>
        <w:rPr>
          <w:rStyle w:val="Emphasis"/>
          <w:rFonts w:ascii="Times New Roman" w:hAnsi="Times New Roman" w:cs="Times New Roman"/>
          <w:i w:val="0"/>
        </w:rPr>
      </w:pPr>
    </w:p>
    <w:p w:rsidR="001E7477" w:rsidRDefault="008339ED"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În cea mai mare parte, 64%, prezervativul este considerat ca metoda</w:t>
      </w:r>
      <w:r w:rsidRPr="008339ED">
        <w:rPr>
          <w:rStyle w:val="Emphasis"/>
          <w:rFonts w:ascii="Times New Roman" w:hAnsi="Times New Roman" w:cs="Times New Roman"/>
          <w:i w:val="0"/>
        </w:rPr>
        <w:t xml:space="preserve"> </w:t>
      </w:r>
      <w:r>
        <w:rPr>
          <w:rStyle w:val="Emphasis"/>
          <w:rFonts w:ascii="Times New Roman" w:hAnsi="Times New Roman" w:cs="Times New Roman"/>
          <w:i w:val="0"/>
        </w:rPr>
        <w:t>cea mai eficientă pentru prevenirea unei sarcini</w:t>
      </w:r>
      <w:r w:rsidR="001E7477">
        <w:rPr>
          <w:rStyle w:val="Emphasis"/>
          <w:rFonts w:ascii="Times New Roman" w:hAnsi="Times New Roman" w:cs="Times New Roman"/>
          <w:i w:val="0"/>
        </w:rPr>
        <w:t>.</w:t>
      </w:r>
      <w:r>
        <w:rPr>
          <w:rStyle w:val="Emphasis"/>
          <w:rFonts w:ascii="Times New Roman" w:hAnsi="Times New Roman" w:cs="Times New Roman"/>
          <w:i w:val="0"/>
        </w:rPr>
        <w:t xml:space="preserve"> </w:t>
      </w:r>
    </w:p>
    <w:p w:rsidR="008339ED" w:rsidRDefault="008339ED" w:rsidP="00E3331D">
      <w:pPr>
        <w:spacing w:after="0"/>
        <w:jc w:val="both"/>
        <w:rPr>
          <w:rStyle w:val="Emphasis"/>
          <w:rFonts w:ascii="Times New Roman" w:hAnsi="Times New Roman" w:cs="Times New Roman"/>
          <w:i w:val="0"/>
        </w:rPr>
      </w:pPr>
      <w:r>
        <w:rPr>
          <w:noProof/>
        </w:rPr>
        <w:lastRenderedPageBreak/>
        <w:drawing>
          <wp:inline distT="0" distB="0" distL="0" distR="0" wp14:anchorId="2DFD443C" wp14:editId="028B63B6">
            <wp:extent cx="5934075" cy="3571875"/>
            <wp:effectExtent l="0" t="0" r="9525" b="9525"/>
            <wp:docPr id="112" name="Google Shape;112;p21" descr="Diagramă a răspunsurilor din Formulare. Titlul întrebării: 10. Care dintre următoarele metode de contracepţie considerați că sunt cele mai eficiente pentru prevenirea unei sarcini nedorite?&#10;. Numărul de răspunsuri: 556 de răspunsuri." title="10. Care dintre următoarele metode de contracepţie considerați că sunt cele mai eficiente pentru prevenirea unei sarcini nedorite?&#10;"/>
            <wp:cNvGraphicFramePr/>
            <a:graphic xmlns:a="http://schemas.openxmlformats.org/drawingml/2006/main">
              <a:graphicData uri="http://schemas.openxmlformats.org/drawingml/2006/picture">
                <pic:pic xmlns:pic="http://schemas.openxmlformats.org/drawingml/2006/picture">
                  <pic:nvPicPr>
                    <pic:cNvPr id="112" name="Google Shape;112;p21" descr="Diagramă a răspunsurilor din Formulare. Titlul întrebării: 10. Care dintre următoarele metode de contracepţie considerați că sunt cele mai eficiente pentru prevenirea unei sarcini nedorite?&#10;. Numărul de răspunsuri: 556 de răspunsuri." title="10. Care dintre următoarele metode de contracepţie considerați că sunt cele mai eficiente pentru prevenirea unei sarcini nedorite?&#10;"/>
                    <pic:cNvPicPr preferRelativeResize="0"/>
                  </pic:nvPicPr>
                  <pic:blipFill>
                    <a:blip r:embed="rId75">
                      <a:alphaModFix/>
                    </a:blip>
                    <a:stretch>
                      <a:fillRect/>
                    </a:stretch>
                  </pic:blipFill>
                  <pic:spPr>
                    <a:xfrm>
                      <a:off x="0" y="0"/>
                      <a:ext cx="5943600" cy="3577608"/>
                    </a:xfrm>
                    <a:prstGeom prst="rect">
                      <a:avLst/>
                    </a:prstGeom>
                    <a:noFill/>
                    <a:ln>
                      <a:noFill/>
                    </a:ln>
                  </pic:spPr>
                </pic:pic>
              </a:graphicData>
            </a:graphic>
          </wp:inline>
        </w:drawing>
      </w:r>
    </w:p>
    <w:p w:rsidR="001E7477" w:rsidRDefault="001E7477"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Un procent de 45,5% nu au început viața sexuală, iar 8,8% și</w:t>
      </w:r>
      <w:r w:rsidR="00D83A34">
        <w:rPr>
          <w:rStyle w:val="Emphasis"/>
          <w:rFonts w:ascii="Times New Roman" w:hAnsi="Times New Roman" w:cs="Times New Roman"/>
          <w:i w:val="0"/>
        </w:rPr>
        <w:t>-</w:t>
      </w:r>
      <w:r>
        <w:rPr>
          <w:rStyle w:val="Emphasis"/>
          <w:rFonts w:ascii="Times New Roman" w:hAnsi="Times New Roman" w:cs="Times New Roman"/>
          <w:i w:val="0"/>
        </w:rPr>
        <w:t>au început viața sexuală la vârste mai mici de 12 ani.</w:t>
      </w:r>
    </w:p>
    <w:p w:rsidR="008339ED" w:rsidRDefault="001E7477"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 </w:t>
      </w:r>
      <w:r>
        <w:rPr>
          <w:noProof/>
        </w:rPr>
        <w:drawing>
          <wp:inline distT="0" distB="0" distL="0" distR="0" wp14:anchorId="7FF9C0AC" wp14:editId="5722A390">
            <wp:extent cx="5943600" cy="1952625"/>
            <wp:effectExtent l="0" t="0" r="0" b="9525"/>
            <wp:docPr id="119" name="Google Shape;119;p22" descr="Diagramă a răspunsurilor din Formulare. Titlul întrebării: 11.  De la ce vârstă v-aţi început viața sexuală?. Numărul de răspunsuri: 556 de răspunsuri." title="11.  De la ce vârstă v-aţi început viața sexuală?"/>
            <wp:cNvGraphicFramePr/>
            <a:graphic xmlns:a="http://schemas.openxmlformats.org/drawingml/2006/main">
              <a:graphicData uri="http://schemas.openxmlformats.org/drawingml/2006/picture">
                <pic:pic xmlns:pic="http://schemas.openxmlformats.org/drawingml/2006/picture">
                  <pic:nvPicPr>
                    <pic:cNvPr id="119" name="Google Shape;119;p22" descr="Diagramă a răspunsurilor din Formulare. Titlul întrebării: 11.  De la ce vârstă v-aţi început viața sexuală?. Numărul de răspunsuri: 556 de răspunsuri." title="11.  De la ce vârstă v-aţi început viața sexuală?"/>
                    <pic:cNvPicPr preferRelativeResize="0"/>
                  </pic:nvPicPr>
                  <pic:blipFill>
                    <a:blip r:embed="rId76">
                      <a:alphaModFix/>
                    </a:blip>
                    <a:stretch>
                      <a:fillRect/>
                    </a:stretch>
                  </pic:blipFill>
                  <pic:spPr>
                    <a:xfrm>
                      <a:off x="0" y="0"/>
                      <a:ext cx="5943600" cy="1952625"/>
                    </a:xfrm>
                    <a:prstGeom prst="rect">
                      <a:avLst/>
                    </a:prstGeom>
                    <a:noFill/>
                    <a:ln>
                      <a:noFill/>
                    </a:ln>
                  </pic:spPr>
                </pic:pic>
              </a:graphicData>
            </a:graphic>
          </wp:inline>
        </w:drawing>
      </w:r>
    </w:p>
    <w:p w:rsidR="008339ED" w:rsidRDefault="001E7477"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Metodele contraceptive nu sunt folosite în proporție de 45%, iar prezervativul e utilizat în proporție de 23,9%. Legat de motivul pentru care nu folosesc metode contraceptive, un procent de 34,5% afirmă faptul că nu știu care este motivul, iar 20,9% afirmă lipsa activității sexuale.</w:t>
      </w:r>
    </w:p>
    <w:p w:rsidR="001E7477" w:rsidRDefault="001E7477"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Infertilitatea </w:t>
      </w:r>
      <w:r w:rsidR="00A10451">
        <w:rPr>
          <w:rStyle w:val="Emphasis"/>
          <w:rFonts w:ascii="Times New Roman" w:hAnsi="Times New Roman" w:cs="Times New Roman"/>
          <w:i w:val="0"/>
        </w:rPr>
        <w:t xml:space="preserve">și cancerul de col uterin sunt </w:t>
      </w:r>
      <w:r w:rsidR="00387756">
        <w:rPr>
          <w:rStyle w:val="Emphasis"/>
          <w:rFonts w:ascii="Times New Roman" w:hAnsi="Times New Roman" w:cs="Times New Roman"/>
          <w:i w:val="0"/>
        </w:rPr>
        <w:t>c</w:t>
      </w:r>
      <w:r>
        <w:rPr>
          <w:rStyle w:val="Emphasis"/>
          <w:rFonts w:ascii="Times New Roman" w:hAnsi="Times New Roman" w:cs="Times New Roman"/>
          <w:i w:val="0"/>
        </w:rPr>
        <w:t>onsiderat</w:t>
      </w:r>
      <w:r w:rsidR="00A10451">
        <w:rPr>
          <w:rStyle w:val="Emphasis"/>
          <w:rFonts w:ascii="Times New Roman" w:hAnsi="Times New Roman" w:cs="Times New Roman"/>
          <w:i w:val="0"/>
        </w:rPr>
        <w:t>e</w:t>
      </w:r>
      <w:r>
        <w:rPr>
          <w:rStyle w:val="Emphasis"/>
          <w:rFonts w:ascii="Times New Roman" w:hAnsi="Times New Roman" w:cs="Times New Roman"/>
          <w:i w:val="0"/>
        </w:rPr>
        <w:t xml:space="preserve"> ca fiind efect</w:t>
      </w:r>
      <w:r w:rsidR="00A10451">
        <w:rPr>
          <w:rStyle w:val="Emphasis"/>
          <w:rFonts w:ascii="Times New Roman" w:hAnsi="Times New Roman" w:cs="Times New Roman"/>
          <w:i w:val="0"/>
        </w:rPr>
        <w:t>e</w:t>
      </w:r>
      <w:r>
        <w:rPr>
          <w:rStyle w:val="Emphasis"/>
          <w:rFonts w:ascii="Times New Roman" w:hAnsi="Times New Roman" w:cs="Times New Roman"/>
          <w:i w:val="0"/>
        </w:rPr>
        <w:t>l</w:t>
      </w:r>
      <w:r w:rsidR="00A10451">
        <w:rPr>
          <w:rStyle w:val="Emphasis"/>
          <w:rFonts w:ascii="Times New Roman" w:hAnsi="Times New Roman" w:cs="Times New Roman"/>
          <w:i w:val="0"/>
        </w:rPr>
        <w:t>e</w:t>
      </w:r>
      <w:r>
        <w:rPr>
          <w:rStyle w:val="Emphasis"/>
          <w:rFonts w:ascii="Times New Roman" w:hAnsi="Times New Roman" w:cs="Times New Roman"/>
          <w:i w:val="0"/>
        </w:rPr>
        <w:t xml:space="preserve"> principal</w:t>
      </w:r>
      <w:r w:rsidR="00A10451">
        <w:rPr>
          <w:rStyle w:val="Emphasis"/>
          <w:rFonts w:ascii="Times New Roman" w:hAnsi="Times New Roman" w:cs="Times New Roman"/>
          <w:i w:val="0"/>
        </w:rPr>
        <w:t>e</w:t>
      </w:r>
      <w:r>
        <w:rPr>
          <w:rStyle w:val="Emphasis"/>
          <w:rFonts w:ascii="Times New Roman" w:hAnsi="Times New Roman" w:cs="Times New Roman"/>
          <w:i w:val="0"/>
        </w:rPr>
        <w:t xml:space="preserve"> al</w:t>
      </w:r>
      <w:r w:rsidR="00A10451">
        <w:rPr>
          <w:rStyle w:val="Emphasis"/>
          <w:rFonts w:ascii="Times New Roman" w:hAnsi="Times New Roman" w:cs="Times New Roman"/>
          <w:i w:val="0"/>
        </w:rPr>
        <w:t>e</w:t>
      </w:r>
      <w:r>
        <w:rPr>
          <w:rStyle w:val="Emphasis"/>
          <w:rFonts w:ascii="Times New Roman" w:hAnsi="Times New Roman" w:cs="Times New Roman"/>
          <w:i w:val="0"/>
        </w:rPr>
        <w:t xml:space="preserve"> infecțiilor cu transmitere sexuală</w:t>
      </w:r>
      <w:r w:rsidR="00387756">
        <w:rPr>
          <w:rStyle w:val="Emphasis"/>
          <w:rFonts w:ascii="Times New Roman" w:hAnsi="Times New Roman" w:cs="Times New Roman"/>
          <w:i w:val="0"/>
        </w:rPr>
        <w:t xml:space="preserve"> atât la femei cât și la bărbați.</w:t>
      </w:r>
    </w:p>
    <w:p w:rsidR="001E7477" w:rsidRDefault="001E7477" w:rsidP="00E3331D">
      <w:pPr>
        <w:spacing w:after="0"/>
        <w:jc w:val="both"/>
        <w:rPr>
          <w:rStyle w:val="Emphasis"/>
          <w:rFonts w:ascii="Times New Roman" w:hAnsi="Times New Roman" w:cs="Times New Roman"/>
          <w:i w:val="0"/>
        </w:rPr>
      </w:pPr>
      <w:r>
        <w:rPr>
          <w:noProof/>
        </w:rPr>
        <w:lastRenderedPageBreak/>
        <w:drawing>
          <wp:inline distT="0" distB="0" distL="0" distR="0" wp14:anchorId="3E6CF4DC" wp14:editId="481FC487">
            <wp:extent cx="5943600" cy="2057400"/>
            <wp:effectExtent l="0" t="0" r="0" b="0"/>
            <wp:docPr id="154" name="Google Shape;154;p27" descr="Diagramă a răspunsurilor din Formulare. Titlul întrebării: 16.  Infecțiile cu transmitere sexuală pot să aibă drept consecință în rândul femeilor:. Numărul de răspunsuri: 556 de răspunsuri." title="16.  Infecțiile cu transmitere sexuală pot să aibă drept consecință în rândul femeilor:"/>
            <wp:cNvGraphicFramePr/>
            <a:graphic xmlns:a="http://schemas.openxmlformats.org/drawingml/2006/main">
              <a:graphicData uri="http://schemas.openxmlformats.org/drawingml/2006/picture">
                <pic:pic xmlns:pic="http://schemas.openxmlformats.org/drawingml/2006/picture">
                  <pic:nvPicPr>
                    <pic:cNvPr id="154" name="Google Shape;154;p27" descr="Diagramă a răspunsurilor din Formulare. Titlul întrebării: 16.  Infecțiile cu transmitere sexuală pot să aibă drept consecință în rândul femeilor:. Numărul de răspunsuri: 556 de răspunsuri." title="16.  Infecțiile cu transmitere sexuală pot să aibă drept consecință în rândul femeilor:"/>
                    <pic:cNvPicPr preferRelativeResize="0"/>
                  </pic:nvPicPr>
                  <pic:blipFill>
                    <a:blip r:embed="rId77">
                      <a:alphaModFix/>
                    </a:blip>
                    <a:stretch>
                      <a:fillRect/>
                    </a:stretch>
                  </pic:blipFill>
                  <pic:spPr>
                    <a:xfrm>
                      <a:off x="0" y="0"/>
                      <a:ext cx="5943600" cy="2057400"/>
                    </a:xfrm>
                    <a:prstGeom prst="rect">
                      <a:avLst/>
                    </a:prstGeom>
                    <a:noFill/>
                    <a:ln>
                      <a:noFill/>
                    </a:ln>
                  </pic:spPr>
                </pic:pic>
              </a:graphicData>
            </a:graphic>
          </wp:inline>
        </w:drawing>
      </w:r>
    </w:p>
    <w:p w:rsidR="00387756" w:rsidRDefault="00387756" w:rsidP="00E3331D">
      <w:pPr>
        <w:spacing w:after="0"/>
        <w:jc w:val="both"/>
        <w:rPr>
          <w:rStyle w:val="Emphasis"/>
          <w:rFonts w:ascii="Times New Roman" w:hAnsi="Times New Roman" w:cs="Times New Roman"/>
          <w:i w:val="0"/>
        </w:rPr>
      </w:pPr>
    </w:p>
    <w:p w:rsidR="00387756" w:rsidRDefault="00387756" w:rsidP="00E3331D">
      <w:pPr>
        <w:spacing w:after="0"/>
        <w:jc w:val="both"/>
        <w:rPr>
          <w:noProof/>
        </w:rPr>
      </w:pPr>
      <w:r>
        <w:rPr>
          <w:rStyle w:val="Emphasis"/>
          <w:rFonts w:ascii="Times New Roman" w:hAnsi="Times New Roman" w:cs="Times New Roman"/>
          <w:i w:val="0"/>
        </w:rPr>
        <w:t>,</w:t>
      </w:r>
      <w:r w:rsidRPr="00387756">
        <w:rPr>
          <w:noProof/>
        </w:rPr>
        <w:t xml:space="preserve"> </w:t>
      </w:r>
      <w:r>
        <w:rPr>
          <w:noProof/>
        </w:rPr>
        <w:drawing>
          <wp:inline distT="0" distB="0" distL="0" distR="0" wp14:anchorId="6774E8B4" wp14:editId="06641BEB">
            <wp:extent cx="5943600" cy="2152650"/>
            <wp:effectExtent l="0" t="0" r="0" b="0"/>
            <wp:docPr id="161" name="Google Shape;161;p28" descr="Diagramă a răspunsurilor din Formulare. Titlul întrebării: 17.  Infecțiile cu transmitere sexuală pot să aibă drept consecință în rândul bărbaților:. Numărul de răspunsuri: 556 de răspunsuri." title="17.  Infecțiile cu transmitere sexuală pot să aibă drept consecință în rândul bărbaților:"/>
            <wp:cNvGraphicFramePr/>
            <a:graphic xmlns:a="http://schemas.openxmlformats.org/drawingml/2006/main">
              <a:graphicData uri="http://schemas.openxmlformats.org/drawingml/2006/picture">
                <pic:pic xmlns:pic="http://schemas.openxmlformats.org/drawingml/2006/picture">
                  <pic:nvPicPr>
                    <pic:cNvPr id="161" name="Google Shape;161;p28" descr="Diagramă a răspunsurilor din Formulare. Titlul întrebării: 17.  Infecțiile cu transmitere sexuală pot să aibă drept consecință în rândul bărbaților:. Numărul de răspunsuri: 556 de răspunsuri." title="17.  Infecțiile cu transmitere sexuală pot să aibă drept consecință în rândul bărbaților:"/>
                    <pic:cNvPicPr preferRelativeResize="0"/>
                  </pic:nvPicPr>
                  <pic:blipFill>
                    <a:blip r:embed="rId78">
                      <a:alphaModFix/>
                    </a:blip>
                    <a:stretch>
                      <a:fillRect/>
                    </a:stretch>
                  </pic:blipFill>
                  <pic:spPr>
                    <a:xfrm>
                      <a:off x="0" y="0"/>
                      <a:ext cx="5943600" cy="2152650"/>
                    </a:xfrm>
                    <a:prstGeom prst="rect">
                      <a:avLst/>
                    </a:prstGeom>
                    <a:noFill/>
                    <a:ln>
                      <a:noFill/>
                    </a:ln>
                  </pic:spPr>
                </pic:pic>
              </a:graphicData>
            </a:graphic>
          </wp:inline>
        </w:drawing>
      </w:r>
    </w:p>
    <w:p w:rsidR="00387756" w:rsidRDefault="00F2582A" w:rsidP="00E3331D">
      <w:pPr>
        <w:spacing w:after="0"/>
        <w:jc w:val="both"/>
        <w:rPr>
          <w:rFonts w:ascii="Times New Roman" w:hAnsi="Times New Roman" w:cs="Times New Roman"/>
          <w:noProof/>
        </w:rPr>
      </w:pPr>
      <w:r w:rsidRPr="00F2582A">
        <w:rPr>
          <w:rFonts w:ascii="Times New Roman" w:hAnsi="Times New Roman" w:cs="Times New Roman"/>
          <w:noProof/>
        </w:rPr>
        <w:t>Majoritatea respondenților, 98,2%,  cunosc faptul că infecțiile cu transmitere sexuală se pot transmite la primul contact sexual.</w:t>
      </w:r>
      <w:r w:rsidR="00A456B3">
        <w:rPr>
          <w:rFonts w:ascii="Times New Roman" w:hAnsi="Times New Roman" w:cs="Times New Roman"/>
          <w:noProof/>
        </w:rPr>
        <w:t xml:space="preserve"> De asemenea, majoritatea, 95,7%, afirmă faptul că cea mai sigură metodă de prevenire a unei infecții sexuale este prezervativul, iar 34%, abstinența.</w:t>
      </w:r>
    </w:p>
    <w:p w:rsidR="000256AF" w:rsidRDefault="000256AF" w:rsidP="00E3331D">
      <w:pPr>
        <w:spacing w:after="0"/>
        <w:jc w:val="both"/>
        <w:rPr>
          <w:rFonts w:ascii="Times New Roman" w:hAnsi="Times New Roman" w:cs="Times New Roman"/>
          <w:noProof/>
        </w:rPr>
      </w:pPr>
      <w:r>
        <w:rPr>
          <w:rFonts w:ascii="Times New Roman" w:hAnsi="Times New Roman" w:cs="Times New Roman"/>
          <w:noProof/>
        </w:rPr>
        <w:t>Vaccinul HPV este considerat ca metodă de prevenire a unei infecții cu transmitere sexuală, în proporție de 76,1%, iar Hepatita B, în proporție de 56,5%.</w:t>
      </w:r>
    </w:p>
    <w:p w:rsidR="000256AF" w:rsidRDefault="000256AF" w:rsidP="00E3331D">
      <w:pPr>
        <w:spacing w:after="0"/>
        <w:jc w:val="both"/>
        <w:rPr>
          <w:rStyle w:val="Emphasis"/>
          <w:rFonts w:ascii="Times New Roman" w:hAnsi="Times New Roman" w:cs="Times New Roman"/>
          <w:i w:val="0"/>
        </w:rPr>
      </w:pPr>
      <w:r>
        <w:rPr>
          <w:noProof/>
        </w:rPr>
        <w:drawing>
          <wp:inline distT="0" distB="0" distL="0" distR="0" wp14:anchorId="221DBF82" wp14:editId="013AA7D4">
            <wp:extent cx="5943600" cy="2209800"/>
            <wp:effectExtent l="0" t="0" r="0" b="0"/>
            <wp:docPr id="182" name="Google Shape;182;p31" descr="Diagramă a răspunsurilor din Formulare. Titlul întrebării: 20.  Care dintre următoarele infecții transmisibile sexual se poate preveni prin vaccinare?. Numărul de răspunsuri: 556 de răspunsuri." title="20.  Care dintre următoarele infecții transmisibile sexual se poate preveni prin vaccinare?"/>
            <wp:cNvGraphicFramePr/>
            <a:graphic xmlns:a="http://schemas.openxmlformats.org/drawingml/2006/main">
              <a:graphicData uri="http://schemas.openxmlformats.org/drawingml/2006/picture">
                <pic:pic xmlns:pic="http://schemas.openxmlformats.org/drawingml/2006/picture">
                  <pic:nvPicPr>
                    <pic:cNvPr id="182" name="Google Shape;182;p31" descr="Diagramă a răspunsurilor din Formulare. Titlul întrebării: 20.  Care dintre următoarele infecții transmisibile sexual se poate preveni prin vaccinare?. Numărul de răspunsuri: 556 de răspunsuri." title="20.  Care dintre următoarele infecții transmisibile sexual se poate preveni prin vaccinare?"/>
                    <pic:cNvPicPr preferRelativeResize="0"/>
                  </pic:nvPicPr>
                  <pic:blipFill>
                    <a:blip r:embed="rId79">
                      <a:alphaModFix/>
                    </a:blip>
                    <a:stretch>
                      <a:fillRect/>
                    </a:stretch>
                  </pic:blipFill>
                  <pic:spPr>
                    <a:xfrm>
                      <a:off x="0" y="0"/>
                      <a:ext cx="5943600" cy="2209800"/>
                    </a:xfrm>
                    <a:prstGeom prst="rect">
                      <a:avLst/>
                    </a:prstGeom>
                    <a:noFill/>
                    <a:ln>
                      <a:noFill/>
                    </a:ln>
                  </pic:spPr>
                </pic:pic>
              </a:graphicData>
            </a:graphic>
          </wp:inline>
        </w:drawing>
      </w:r>
    </w:p>
    <w:p w:rsidR="005111F0" w:rsidRDefault="005111F0" w:rsidP="00E3331D">
      <w:pPr>
        <w:spacing w:after="0"/>
        <w:jc w:val="both"/>
        <w:rPr>
          <w:rFonts w:ascii="Times New Roman" w:hAnsi="Times New Roman" w:cs="Times New Roman"/>
          <w:noProof/>
        </w:rPr>
      </w:pPr>
      <w:r w:rsidRPr="005111F0">
        <w:rPr>
          <w:rFonts w:ascii="Times New Roman" w:hAnsi="Times New Roman" w:cs="Times New Roman"/>
          <w:noProof/>
        </w:rPr>
        <w:t>Un procent de 86,9% nu sunt vaccina</w:t>
      </w:r>
      <w:r w:rsidR="00D83A34">
        <w:rPr>
          <w:rFonts w:ascii="Times New Roman" w:hAnsi="Times New Roman" w:cs="Times New Roman"/>
          <w:noProof/>
        </w:rPr>
        <w:t>ț</w:t>
      </w:r>
      <w:r w:rsidRPr="005111F0">
        <w:rPr>
          <w:rFonts w:ascii="Times New Roman" w:hAnsi="Times New Roman" w:cs="Times New Roman"/>
          <w:noProof/>
        </w:rPr>
        <w:t xml:space="preserve">i </w:t>
      </w:r>
      <w:r w:rsidR="00D83A34">
        <w:rPr>
          <w:rFonts w:ascii="Times New Roman" w:hAnsi="Times New Roman" w:cs="Times New Roman"/>
          <w:noProof/>
        </w:rPr>
        <w:t>anti</w:t>
      </w:r>
      <w:r w:rsidRPr="005111F0">
        <w:rPr>
          <w:rFonts w:ascii="Times New Roman" w:hAnsi="Times New Roman" w:cs="Times New Roman"/>
          <w:noProof/>
        </w:rPr>
        <w:t xml:space="preserve"> HPV.</w:t>
      </w:r>
    </w:p>
    <w:p w:rsidR="005111F0" w:rsidRDefault="005111F0" w:rsidP="00E3331D">
      <w:pPr>
        <w:spacing w:after="0"/>
        <w:jc w:val="both"/>
        <w:rPr>
          <w:rStyle w:val="Emphasis"/>
          <w:rFonts w:ascii="Times New Roman" w:hAnsi="Times New Roman" w:cs="Times New Roman"/>
          <w:i w:val="0"/>
        </w:rPr>
      </w:pPr>
      <w:r>
        <w:rPr>
          <w:noProof/>
        </w:rPr>
        <w:lastRenderedPageBreak/>
        <w:drawing>
          <wp:inline distT="0" distB="0" distL="0" distR="0" wp14:anchorId="57467457" wp14:editId="61B66BE0">
            <wp:extent cx="5935145" cy="2009775"/>
            <wp:effectExtent l="0" t="0" r="8890" b="0"/>
            <wp:docPr id="189" name="Google Shape;189;p32" descr="Diagramă a răspunsurilor din Formulare. Titlul întrebării: 21.   Sunteți vaccinat HPV? . Numărul de răspunsuri: 556 de răspunsuri." title="21.   Sunteți vaccinat HPV? "/>
            <wp:cNvGraphicFramePr/>
            <a:graphic xmlns:a="http://schemas.openxmlformats.org/drawingml/2006/main">
              <a:graphicData uri="http://schemas.openxmlformats.org/drawingml/2006/picture">
                <pic:pic xmlns:pic="http://schemas.openxmlformats.org/drawingml/2006/picture">
                  <pic:nvPicPr>
                    <pic:cNvPr id="189" name="Google Shape;189;p32" descr="Diagramă a răspunsurilor din Formulare. Titlul întrebării: 21.   Sunteți vaccinat HPV? . Numărul de răspunsuri: 556 de răspunsuri." title="21.   Sunteți vaccinat HPV? "/>
                    <pic:cNvPicPr preferRelativeResize="0"/>
                  </pic:nvPicPr>
                  <pic:blipFill>
                    <a:blip r:embed="rId80">
                      <a:alphaModFix/>
                    </a:blip>
                    <a:stretch>
                      <a:fillRect/>
                    </a:stretch>
                  </pic:blipFill>
                  <pic:spPr>
                    <a:xfrm>
                      <a:off x="0" y="0"/>
                      <a:ext cx="5943600" cy="2012638"/>
                    </a:xfrm>
                    <a:prstGeom prst="rect">
                      <a:avLst/>
                    </a:prstGeom>
                    <a:noFill/>
                    <a:ln>
                      <a:noFill/>
                    </a:ln>
                  </pic:spPr>
                </pic:pic>
              </a:graphicData>
            </a:graphic>
          </wp:inline>
        </w:drawing>
      </w:r>
    </w:p>
    <w:p w:rsidR="005111F0" w:rsidRDefault="005111F0"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Majoritatea dintre respondenți, 83,1%, au afirmat că nu au consultat un medic înaintea începerii vieții sexuale. </w:t>
      </w:r>
    </w:p>
    <w:p w:rsidR="005111F0" w:rsidRDefault="005111F0" w:rsidP="00E3331D">
      <w:pPr>
        <w:spacing w:after="0"/>
        <w:jc w:val="both"/>
        <w:rPr>
          <w:rStyle w:val="Emphasis"/>
          <w:rFonts w:ascii="Times New Roman" w:hAnsi="Times New Roman" w:cs="Times New Roman"/>
          <w:i w:val="0"/>
        </w:rPr>
      </w:pPr>
      <w:r>
        <w:rPr>
          <w:noProof/>
        </w:rPr>
        <w:drawing>
          <wp:inline distT="0" distB="0" distL="0" distR="0" wp14:anchorId="56D869CB" wp14:editId="4B6BFE29">
            <wp:extent cx="5937154" cy="2324100"/>
            <wp:effectExtent l="0" t="0" r="6985" b="0"/>
            <wp:docPr id="196" name="Google Shape;196;p33" descr="Diagramă a răspunsurilor din Formulare. Titlul întrebării: 22.  Înainte de începerea vieții sexuale, ați consultat un medic/asistent medical/comunitar?. Numărul de răspunsuri: 556 de răspunsuri." title="22.  Înainte de începerea vieții sexuale, ați consultat un medic/asistent medical/comunitar?"/>
            <wp:cNvGraphicFramePr/>
            <a:graphic xmlns:a="http://schemas.openxmlformats.org/drawingml/2006/main">
              <a:graphicData uri="http://schemas.openxmlformats.org/drawingml/2006/picture">
                <pic:pic xmlns:pic="http://schemas.openxmlformats.org/drawingml/2006/picture">
                  <pic:nvPicPr>
                    <pic:cNvPr id="196" name="Google Shape;196;p33" descr="Diagramă a răspunsurilor din Formulare. Titlul întrebării: 22.  Înainte de începerea vieții sexuale, ați consultat un medic/asistent medical/comunitar?. Numărul de răspunsuri: 556 de răspunsuri." title="22.  Înainte de începerea vieții sexuale, ați consultat un medic/asistent medical/comunitar?"/>
                    <pic:cNvPicPr preferRelativeResize="0"/>
                  </pic:nvPicPr>
                  <pic:blipFill>
                    <a:blip r:embed="rId81">
                      <a:alphaModFix/>
                    </a:blip>
                    <a:stretch>
                      <a:fillRect/>
                    </a:stretch>
                  </pic:blipFill>
                  <pic:spPr>
                    <a:xfrm>
                      <a:off x="0" y="0"/>
                      <a:ext cx="5943600" cy="2326623"/>
                    </a:xfrm>
                    <a:prstGeom prst="rect">
                      <a:avLst/>
                    </a:prstGeom>
                    <a:noFill/>
                    <a:ln>
                      <a:noFill/>
                    </a:ln>
                  </pic:spPr>
                </pic:pic>
              </a:graphicData>
            </a:graphic>
          </wp:inline>
        </w:drawing>
      </w:r>
    </w:p>
    <w:p w:rsidR="005111F0" w:rsidRDefault="005111F0"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În mare parte responden</w:t>
      </w:r>
      <w:r w:rsidR="00580DA2">
        <w:rPr>
          <w:rStyle w:val="Emphasis"/>
          <w:rFonts w:ascii="Times New Roman" w:hAnsi="Times New Roman" w:cs="Times New Roman"/>
          <w:i w:val="0"/>
        </w:rPr>
        <w:t>ț</w:t>
      </w:r>
      <w:r>
        <w:rPr>
          <w:rStyle w:val="Emphasis"/>
          <w:rFonts w:ascii="Times New Roman" w:hAnsi="Times New Roman" w:cs="Times New Roman"/>
          <w:i w:val="0"/>
        </w:rPr>
        <w:t xml:space="preserve">ii nu au utilizat servicii de planificare familială. </w:t>
      </w:r>
    </w:p>
    <w:p w:rsidR="005111F0" w:rsidRDefault="005111F0" w:rsidP="00E3331D">
      <w:pPr>
        <w:spacing w:after="0"/>
        <w:jc w:val="both"/>
        <w:rPr>
          <w:rStyle w:val="Emphasis"/>
          <w:rFonts w:ascii="Times New Roman" w:hAnsi="Times New Roman" w:cs="Times New Roman"/>
          <w:i w:val="0"/>
        </w:rPr>
      </w:pPr>
      <w:r>
        <w:rPr>
          <w:noProof/>
        </w:rPr>
        <w:drawing>
          <wp:inline distT="0" distB="0" distL="0" distR="0" wp14:anchorId="3E9F0375" wp14:editId="6A3DF28E">
            <wp:extent cx="5943600" cy="2362200"/>
            <wp:effectExtent l="0" t="0" r="0" b="0"/>
            <wp:docPr id="203" name="Google Shape;203;p34" descr="Diagramă a răspunsurilor din Formulare. Titlul întrebării: 23.  Dacă sunteți de gen feminin, aţi apelat la servicii de planificare familială?. Numărul de răspunsuri: ." title="23.  Dacă sunteți de gen feminin, aţi apelat la servicii de planificare familială?"/>
            <wp:cNvGraphicFramePr/>
            <a:graphic xmlns:a="http://schemas.openxmlformats.org/drawingml/2006/main">
              <a:graphicData uri="http://schemas.openxmlformats.org/drawingml/2006/picture">
                <pic:pic xmlns:pic="http://schemas.openxmlformats.org/drawingml/2006/picture">
                  <pic:nvPicPr>
                    <pic:cNvPr id="203" name="Google Shape;203;p34" descr="Diagramă a răspunsurilor din Formulare. Titlul întrebării: 23.  Dacă sunteți de gen feminin, aţi apelat la servicii de planificare familială?. Numărul de răspunsuri: ." title="23.  Dacă sunteți de gen feminin, aţi apelat la servicii de planificare familială?"/>
                    <pic:cNvPicPr preferRelativeResize="0"/>
                  </pic:nvPicPr>
                  <pic:blipFill>
                    <a:blip r:embed="rId82">
                      <a:alphaModFix/>
                    </a:blip>
                    <a:stretch>
                      <a:fillRect/>
                    </a:stretch>
                  </pic:blipFill>
                  <pic:spPr>
                    <a:xfrm>
                      <a:off x="0" y="0"/>
                      <a:ext cx="5943600" cy="2362200"/>
                    </a:xfrm>
                    <a:prstGeom prst="rect">
                      <a:avLst/>
                    </a:prstGeom>
                    <a:noFill/>
                    <a:ln>
                      <a:noFill/>
                    </a:ln>
                  </pic:spPr>
                </pic:pic>
              </a:graphicData>
            </a:graphic>
          </wp:inline>
        </w:drawing>
      </w:r>
    </w:p>
    <w:p w:rsidR="005111F0" w:rsidRDefault="005111F0" w:rsidP="00E3331D">
      <w:pPr>
        <w:spacing w:after="0"/>
        <w:jc w:val="both"/>
        <w:rPr>
          <w:rStyle w:val="Emphasis"/>
          <w:rFonts w:ascii="Times New Roman" w:hAnsi="Times New Roman" w:cs="Times New Roman"/>
          <w:i w:val="0"/>
        </w:rPr>
      </w:pPr>
    </w:p>
    <w:p w:rsidR="005111F0" w:rsidRDefault="005111F0"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Femeile consultă un medic ginecologic o dată pe an (55,6%)</w:t>
      </w:r>
      <w:r w:rsidR="001A0812">
        <w:rPr>
          <w:rStyle w:val="Emphasis"/>
          <w:rFonts w:ascii="Times New Roman" w:hAnsi="Times New Roman" w:cs="Times New Roman"/>
          <w:i w:val="0"/>
        </w:rPr>
        <w:t xml:space="preserve">. Un procent de </w:t>
      </w:r>
      <w:r>
        <w:rPr>
          <w:rStyle w:val="Emphasis"/>
          <w:rFonts w:ascii="Times New Roman" w:hAnsi="Times New Roman" w:cs="Times New Roman"/>
          <w:i w:val="0"/>
        </w:rPr>
        <w:t>37,6%</w:t>
      </w:r>
      <w:r w:rsidR="001A0812">
        <w:rPr>
          <w:rStyle w:val="Emphasis"/>
          <w:rFonts w:ascii="Times New Roman" w:hAnsi="Times New Roman" w:cs="Times New Roman"/>
          <w:i w:val="0"/>
        </w:rPr>
        <w:t xml:space="preserve"> merg la medic</w:t>
      </w:r>
      <w:r>
        <w:rPr>
          <w:rStyle w:val="Emphasis"/>
          <w:rFonts w:ascii="Times New Roman" w:hAnsi="Times New Roman" w:cs="Times New Roman"/>
          <w:i w:val="0"/>
        </w:rPr>
        <w:t xml:space="preserve"> doar dacă prezintă o </w:t>
      </w:r>
      <w:r w:rsidR="001A0812">
        <w:rPr>
          <w:rStyle w:val="Emphasis"/>
          <w:rFonts w:ascii="Times New Roman" w:hAnsi="Times New Roman" w:cs="Times New Roman"/>
          <w:i w:val="0"/>
        </w:rPr>
        <w:t>problemă.</w:t>
      </w:r>
    </w:p>
    <w:p w:rsidR="005111F0" w:rsidRDefault="005111F0" w:rsidP="00E3331D">
      <w:pPr>
        <w:spacing w:after="0"/>
        <w:jc w:val="both"/>
        <w:rPr>
          <w:rStyle w:val="Emphasis"/>
          <w:rFonts w:ascii="Times New Roman" w:hAnsi="Times New Roman" w:cs="Times New Roman"/>
          <w:i w:val="0"/>
        </w:rPr>
      </w:pPr>
      <w:r>
        <w:rPr>
          <w:noProof/>
        </w:rPr>
        <w:lastRenderedPageBreak/>
        <w:drawing>
          <wp:inline distT="0" distB="0" distL="0" distR="0" wp14:anchorId="6D026A25" wp14:editId="26048C31">
            <wp:extent cx="5943600" cy="2000250"/>
            <wp:effectExtent l="0" t="0" r="0" b="0"/>
            <wp:docPr id="210" name="Google Shape;210;p35" descr="Diagramă a răspunsurilor din Formulare. Titlul întrebării: 24.  Dacă sunteți de gen feminin, cât de frecvent mergeți la medic pentru investigatii ginecologice?. Numărul de răspunsuri: 556 de răspunsuri." title="24.  Dacă sunteți de gen feminin, cât de frecvent mergeți la medic pentru investigatii ginecologice?"/>
            <wp:cNvGraphicFramePr/>
            <a:graphic xmlns:a="http://schemas.openxmlformats.org/drawingml/2006/main">
              <a:graphicData uri="http://schemas.openxmlformats.org/drawingml/2006/picture">
                <pic:pic xmlns:pic="http://schemas.openxmlformats.org/drawingml/2006/picture">
                  <pic:nvPicPr>
                    <pic:cNvPr id="210" name="Google Shape;210;p35" descr="Diagramă a răspunsurilor din Formulare. Titlul întrebării: 24.  Dacă sunteți de gen feminin, cât de frecvent mergeți la medic pentru investigatii ginecologice?. Numărul de răspunsuri: 556 de răspunsuri." title="24.  Dacă sunteți de gen feminin, cât de frecvent mergeți la medic pentru investigatii ginecologice?"/>
                    <pic:cNvPicPr preferRelativeResize="0"/>
                  </pic:nvPicPr>
                  <pic:blipFill>
                    <a:blip r:embed="rId83">
                      <a:alphaModFix/>
                    </a:blip>
                    <a:stretch>
                      <a:fillRect/>
                    </a:stretch>
                  </pic:blipFill>
                  <pic:spPr>
                    <a:xfrm>
                      <a:off x="0" y="0"/>
                      <a:ext cx="5943600" cy="2000250"/>
                    </a:xfrm>
                    <a:prstGeom prst="rect">
                      <a:avLst/>
                    </a:prstGeom>
                    <a:noFill/>
                    <a:ln>
                      <a:noFill/>
                    </a:ln>
                  </pic:spPr>
                </pic:pic>
              </a:graphicData>
            </a:graphic>
          </wp:inline>
        </w:drawing>
      </w:r>
    </w:p>
    <w:p w:rsidR="00B81AF3" w:rsidRDefault="00B81AF3"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Respondenții ar dori în cea mai mare parte să primească informații despre cum să se protejeze de infecții cu transmitere sexuală și cum să recunoască o boală transmisă </w:t>
      </w:r>
      <w:r w:rsidR="00580DA2">
        <w:rPr>
          <w:rStyle w:val="Emphasis"/>
          <w:rFonts w:ascii="Times New Roman" w:hAnsi="Times New Roman" w:cs="Times New Roman"/>
          <w:i w:val="0"/>
        </w:rPr>
        <w:t>pe c</w:t>
      </w:r>
      <w:r>
        <w:rPr>
          <w:rStyle w:val="Emphasis"/>
          <w:rFonts w:ascii="Times New Roman" w:hAnsi="Times New Roman" w:cs="Times New Roman"/>
          <w:i w:val="0"/>
        </w:rPr>
        <w:t>ale sexuală.</w:t>
      </w:r>
    </w:p>
    <w:p w:rsidR="005111F0" w:rsidRPr="005111F0" w:rsidRDefault="00B81AF3" w:rsidP="00E3331D">
      <w:pPr>
        <w:spacing w:after="0"/>
        <w:jc w:val="both"/>
        <w:rPr>
          <w:rStyle w:val="Emphasis"/>
          <w:rFonts w:ascii="Times New Roman" w:hAnsi="Times New Roman" w:cs="Times New Roman"/>
          <w:i w:val="0"/>
        </w:rPr>
      </w:pPr>
      <w:r>
        <w:rPr>
          <w:noProof/>
        </w:rPr>
        <w:drawing>
          <wp:inline distT="0" distB="0" distL="0" distR="0" wp14:anchorId="72DF8D77" wp14:editId="2AA4D592">
            <wp:extent cx="6331624" cy="2476500"/>
            <wp:effectExtent l="0" t="0" r="0" b="0"/>
            <wp:docPr id="224" name="Google Shape;224;p37" descr="Diagramă a răspunsurilor din Formulare. Titlul întrebării: 26.  Care sunt informațiile despre sănătatea reproducerii pe care ați dori să le primiți din surse de încredere?. Numărul de răspunsuri: 556 de răspunsuri." title="26.  Care sunt informațiile despre sănătatea reproducerii pe care ați dori să le primiți din surse de încredere?"/>
            <wp:cNvGraphicFramePr/>
            <a:graphic xmlns:a="http://schemas.openxmlformats.org/drawingml/2006/main">
              <a:graphicData uri="http://schemas.openxmlformats.org/drawingml/2006/picture">
                <pic:pic xmlns:pic="http://schemas.openxmlformats.org/drawingml/2006/picture">
                  <pic:nvPicPr>
                    <pic:cNvPr id="224" name="Google Shape;224;p37" descr="Diagramă a răspunsurilor din Formulare. Titlul întrebării: 26.  Care sunt informațiile despre sănătatea reproducerii pe care ați dori să le primiți din surse de încredere?. Numărul de răspunsuri: 556 de răspunsuri." title="26.  Care sunt informațiile despre sănătatea reproducerii pe care ați dori să le primiți din surse de încredere?"/>
                    <pic:cNvPicPr preferRelativeResize="0"/>
                  </pic:nvPicPr>
                  <pic:blipFill>
                    <a:blip r:embed="rId84">
                      <a:alphaModFix/>
                    </a:blip>
                    <a:stretch>
                      <a:fillRect/>
                    </a:stretch>
                  </pic:blipFill>
                  <pic:spPr>
                    <a:xfrm>
                      <a:off x="0" y="0"/>
                      <a:ext cx="6334289" cy="2477542"/>
                    </a:xfrm>
                    <a:prstGeom prst="rect">
                      <a:avLst/>
                    </a:prstGeom>
                    <a:noFill/>
                    <a:ln>
                      <a:noFill/>
                    </a:ln>
                  </pic:spPr>
                </pic:pic>
              </a:graphicData>
            </a:graphic>
          </wp:inline>
        </w:drawing>
      </w:r>
    </w:p>
    <w:sectPr w:rsidR="005111F0" w:rsidRPr="005111F0">
      <w:footerReference w:type="default" r:id="rId8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62" w:rsidRDefault="00131E62" w:rsidP="008B3AF6">
      <w:pPr>
        <w:spacing w:after="0" w:line="240" w:lineRule="auto"/>
      </w:pPr>
      <w:r>
        <w:separator/>
      </w:r>
    </w:p>
  </w:endnote>
  <w:endnote w:type="continuationSeparator" w:id="0">
    <w:p w:rsidR="00131E62" w:rsidRDefault="00131E62" w:rsidP="008B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25507"/>
      <w:docPartObj>
        <w:docPartGallery w:val="Page Numbers (Bottom of Page)"/>
        <w:docPartUnique/>
      </w:docPartObj>
    </w:sdtPr>
    <w:sdtEndPr>
      <w:rPr>
        <w:noProof/>
      </w:rPr>
    </w:sdtEndPr>
    <w:sdtContent>
      <w:p w:rsidR="005C7BF1" w:rsidRDefault="005C7BF1">
        <w:pPr>
          <w:pStyle w:val="Footer"/>
          <w:jc w:val="right"/>
        </w:pPr>
        <w:r>
          <w:fldChar w:fldCharType="begin"/>
        </w:r>
        <w:r>
          <w:instrText xml:space="preserve"> PAGE   \* MERGEFORMAT </w:instrText>
        </w:r>
        <w:r>
          <w:fldChar w:fldCharType="separate"/>
        </w:r>
        <w:r w:rsidR="00602A3E">
          <w:rPr>
            <w:noProof/>
          </w:rPr>
          <w:t>4</w:t>
        </w:r>
        <w:r>
          <w:rPr>
            <w:noProof/>
          </w:rPr>
          <w:fldChar w:fldCharType="end"/>
        </w:r>
      </w:p>
    </w:sdtContent>
  </w:sdt>
  <w:p w:rsidR="005C7BF1" w:rsidRDefault="005C7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62" w:rsidRDefault="00131E62" w:rsidP="008B3AF6">
      <w:pPr>
        <w:spacing w:after="0" w:line="240" w:lineRule="auto"/>
      </w:pPr>
      <w:r>
        <w:separator/>
      </w:r>
    </w:p>
  </w:footnote>
  <w:footnote w:type="continuationSeparator" w:id="0">
    <w:p w:rsidR="00131E62" w:rsidRDefault="00131E62" w:rsidP="008B3AF6">
      <w:pPr>
        <w:spacing w:after="0" w:line="240" w:lineRule="auto"/>
      </w:pPr>
      <w:r>
        <w:continuationSeparator/>
      </w:r>
    </w:p>
  </w:footnote>
  <w:footnote w:id="1">
    <w:p w:rsidR="005C7BF1" w:rsidRPr="00BD66BF" w:rsidRDefault="005C7BF1" w:rsidP="00BD66BF">
      <w:pPr>
        <w:spacing w:after="0" w:line="240" w:lineRule="auto"/>
        <w:jc w:val="both"/>
      </w:pPr>
      <w:r>
        <w:rPr>
          <w:rStyle w:val="FootnoteReference"/>
        </w:rPr>
        <w:footnoteRef/>
      </w:r>
      <w:r>
        <w:t xml:space="preserve"> </w:t>
      </w:r>
      <w:hyperlink r:id="rId1" w:history="1">
        <w:r w:rsidRPr="00BD66BF">
          <w:rPr>
            <w:rStyle w:val="Hyperlink"/>
            <w:rFonts w:ascii="Times New Roman" w:hAnsi="Times New Roman" w:cs="Times New Roman"/>
            <w:sz w:val="20"/>
            <w:szCs w:val="20"/>
            <w:lang w:val="ro-RO"/>
          </w:rPr>
          <w:t>https://www.figo.org/news/protecting-and-promoting-srhr-adolescents-and-young-adults</w:t>
        </w:r>
      </w:hyperlink>
    </w:p>
  </w:footnote>
  <w:footnote w:id="2">
    <w:p w:rsidR="005C7BF1" w:rsidRPr="00BD66BF" w:rsidRDefault="005C7BF1">
      <w:pPr>
        <w:pStyle w:val="FootnoteText"/>
        <w:rPr>
          <w:lang w:val="en-US"/>
        </w:rPr>
      </w:pPr>
      <w:r>
        <w:rPr>
          <w:rStyle w:val="FootnoteReference"/>
        </w:rPr>
        <w:footnoteRef/>
      </w:r>
      <w:r>
        <w:t xml:space="preserve"> </w:t>
      </w:r>
      <w:hyperlink r:id="rId2" w:history="1">
        <w:r w:rsidRPr="00BD66BF">
          <w:rPr>
            <w:rStyle w:val="Hyperlink"/>
            <w:rFonts w:ascii="Times New Roman" w:hAnsi="Times New Roman" w:cs="Times New Roman"/>
          </w:rPr>
          <w:t>https://www.who.int/news-room/fact-sheets/detail/abortio</w:t>
        </w:r>
      </w:hyperlink>
    </w:p>
  </w:footnote>
  <w:footnote w:id="3">
    <w:p w:rsidR="005C7BF1" w:rsidRPr="00BD66BF" w:rsidRDefault="005C7BF1" w:rsidP="00BD66BF">
      <w:pPr>
        <w:spacing w:after="0" w:line="240" w:lineRule="auto"/>
        <w:jc w:val="both"/>
        <w:rPr>
          <w:sz w:val="20"/>
          <w:szCs w:val="20"/>
        </w:rPr>
      </w:pPr>
      <w:r>
        <w:rPr>
          <w:rStyle w:val="FootnoteReference"/>
        </w:rPr>
        <w:footnoteRef/>
      </w:r>
      <w:r>
        <w:t xml:space="preserve"> </w:t>
      </w:r>
      <w:hyperlink r:id="rId3" w:history="1">
        <w:r w:rsidRPr="00BD66BF">
          <w:rPr>
            <w:rStyle w:val="Hyperlink"/>
            <w:rFonts w:ascii="Times New Roman" w:hAnsi="Times New Roman" w:cs="Times New Roman"/>
            <w:sz w:val="20"/>
            <w:szCs w:val="20"/>
          </w:rPr>
          <w:t>https://plan-international.org/srhr/teenage-pregnancy/</w:t>
        </w:r>
      </w:hyperlink>
    </w:p>
  </w:footnote>
  <w:footnote w:id="4">
    <w:p w:rsidR="005C7BF1" w:rsidRPr="00BD66BF" w:rsidRDefault="005C7BF1">
      <w:pPr>
        <w:pStyle w:val="FootnoteText"/>
        <w:rPr>
          <w:lang w:val="en-US"/>
        </w:rPr>
      </w:pPr>
      <w:r>
        <w:rPr>
          <w:rStyle w:val="FootnoteReference"/>
        </w:rPr>
        <w:footnoteRef/>
      </w:r>
      <w:r>
        <w:t xml:space="preserve"> </w:t>
      </w:r>
      <w:hyperlink r:id="rId4" w:history="1">
        <w:r w:rsidRPr="00653986">
          <w:rPr>
            <w:rStyle w:val="Hyperlink"/>
            <w:rFonts w:ascii="Times New Roman" w:eastAsia="Times New Roman" w:hAnsi="Times New Roman" w:cs="Times New Roman"/>
            <w:lang w:val="fr-FR"/>
          </w:rPr>
          <w:t>https://ec.europa.eu/eurostat/databrowser/view/DEMO_FASEC__custom_1322514/default/table?lang=e</w:t>
        </w:r>
      </w:hyperlink>
    </w:p>
  </w:footnote>
  <w:footnote w:id="5">
    <w:p w:rsidR="005C7BF1" w:rsidRPr="00BD66BF" w:rsidRDefault="005C7BF1" w:rsidP="00BD66BF">
      <w:pPr>
        <w:spacing w:after="0"/>
        <w:jc w:val="both"/>
      </w:pPr>
      <w:r>
        <w:rPr>
          <w:rStyle w:val="FootnoteReference"/>
        </w:rPr>
        <w:footnoteRef/>
      </w:r>
      <w:r>
        <w:rPr>
          <w:rFonts w:ascii="Times New Roman" w:hAnsi="Times New Roman" w:cs="Times New Roman"/>
          <w:color w:val="17365D" w:themeColor="text2" w:themeShade="BF"/>
          <w:sz w:val="20"/>
          <w:szCs w:val="20"/>
        </w:rPr>
        <w:t xml:space="preserve"> </w:t>
      </w:r>
      <w:r w:rsidRPr="00525ACC">
        <w:rPr>
          <w:rFonts w:ascii="Times New Roman" w:hAnsi="Times New Roman" w:cs="Times New Roman"/>
          <w:color w:val="17365D" w:themeColor="text2" w:themeShade="BF"/>
          <w:sz w:val="20"/>
          <w:szCs w:val="20"/>
        </w:rPr>
        <w:t>https://ec.europa.eu/eurostat/databrowser/view/demo_fasec/default/table?lang=en</w:t>
      </w:r>
      <w:r w:rsidRPr="00525ACC">
        <w:rPr>
          <w:color w:val="17365D" w:themeColor="text2" w:themeShade="BF"/>
        </w:rPr>
        <w:t xml:space="preserve"> </w:t>
      </w:r>
    </w:p>
  </w:footnote>
  <w:footnote w:id="6">
    <w:p w:rsidR="005C7BF1" w:rsidRPr="00BD66BF" w:rsidRDefault="005C7BF1" w:rsidP="00BD66BF">
      <w:pPr>
        <w:tabs>
          <w:tab w:val="left" w:pos="0"/>
        </w:tabs>
        <w:spacing w:after="0" w:line="271" w:lineRule="auto"/>
        <w:jc w:val="both"/>
      </w:pPr>
      <w:r>
        <w:rPr>
          <w:rStyle w:val="FootnoteReference"/>
        </w:rPr>
        <w:footnoteRef/>
      </w:r>
      <w:hyperlink r:id="rId5" w:history="1">
        <w:r w:rsidRPr="00BD66BF">
          <w:rPr>
            <w:rStyle w:val="Hyperlink"/>
            <w:rFonts w:ascii="Times New Roman" w:eastAsia="Arial" w:hAnsi="Times New Roman" w:cs="Times New Roman"/>
            <w:sz w:val="20"/>
            <w:szCs w:val="20"/>
          </w:rPr>
          <w:t>https://www.unicef.org/romania/media/8331/file/SUMAR%20DE%20POLITICI%20prevenirea%20sarcinilor%20%C8%99i%20a%20consecin%C8%9Belor%20acestora%20la%20adolescente.pdf</w:t>
        </w:r>
      </w:hyperlink>
    </w:p>
  </w:footnote>
  <w:footnote w:id="7">
    <w:p w:rsidR="005C7BF1" w:rsidRPr="00BD66BF" w:rsidRDefault="005C7BF1">
      <w:pPr>
        <w:pStyle w:val="FootnoteText"/>
        <w:rPr>
          <w:lang w:val="en-US"/>
        </w:rPr>
      </w:pPr>
      <w:r>
        <w:rPr>
          <w:rStyle w:val="FootnoteReference"/>
        </w:rPr>
        <w:footnoteRef/>
      </w:r>
      <w:r>
        <w:t xml:space="preserve"> </w:t>
      </w:r>
      <w:hyperlink r:id="rId6" w:history="1">
        <w:r w:rsidRPr="00F0636E">
          <w:rPr>
            <w:rStyle w:val="Hyperlink"/>
            <w:rFonts w:ascii="Times New Roman" w:eastAsia="Times New Roman" w:hAnsi="Times New Roman" w:cs="Times New Roman"/>
            <w:lang w:val="fr-FR"/>
          </w:rPr>
          <w:t>https://ec.europa.eu/eurostat/databrowser/view/tps00204/default/table?lang=en</w:t>
        </w:r>
      </w:hyperlink>
    </w:p>
  </w:footnote>
  <w:footnote w:id="8">
    <w:p w:rsidR="005C7BF1" w:rsidRPr="00BD66BF" w:rsidRDefault="005C7BF1" w:rsidP="00C935C0">
      <w:pPr>
        <w:shd w:val="clear" w:color="auto" w:fill="FFFFFF"/>
        <w:spacing w:after="0"/>
        <w:jc w:val="both"/>
      </w:pPr>
      <w:r>
        <w:rPr>
          <w:rStyle w:val="FootnoteReference"/>
        </w:rPr>
        <w:footnoteRef/>
      </w:r>
      <w:r>
        <w:t xml:space="preserve"> </w:t>
      </w:r>
      <w:r w:rsidRPr="00BD66BF">
        <w:rPr>
          <w:rFonts w:ascii="Times New Roman" w:hAnsi="Times New Roman" w:cs="Times New Roman"/>
          <w:color w:val="0000FF"/>
          <w:sz w:val="20"/>
          <w:szCs w:val="20"/>
          <w:u w:val="single"/>
        </w:rPr>
        <w:t>https://ec.europa.eu/eurostat/databrowser/view/tps00199/default/table?lang=en</w:t>
      </w:r>
    </w:p>
  </w:footnote>
  <w:footnote w:id="9">
    <w:p w:rsidR="005C7BF1" w:rsidRPr="00C935C0" w:rsidRDefault="005C7BF1">
      <w:pPr>
        <w:pStyle w:val="FootnoteText"/>
        <w:rPr>
          <w:lang w:val="en-US"/>
        </w:rPr>
      </w:pPr>
      <w:r>
        <w:rPr>
          <w:rStyle w:val="FootnoteReference"/>
        </w:rPr>
        <w:footnoteRef/>
      </w:r>
      <w:r>
        <w:t xml:space="preserve"> </w:t>
      </w:r>
      <w:r w:rsidRPr="00D12893">
        <w:rPr>
          <w:rFonts w:ascii="Times New Roman" w:hAnsi="Times New Roman" w:cs="Times New Roman"/>
        </w:rPr>
        <w:t>https://ec.europa.eu/eurostat/databrowser/view/demo_frate/default/table?lang=en</w:t>
      </w:r>
      <w:r w:rsidRPr="00C935C0">
        <w:rPr>
          <w:lang w:val="en-US"/>
        </w:rPr>
        <w:t xml:space="preserve"> </w:t>
      </w:r>
    </w:p>
  </w:footnote>
  <w:footnote w:id="10">
    <w:p w:rsidR="005C7BF1" w:rsidRPr="00BD66BF" w:rsidRDefault="005C7BF1" w:rsidP="00C935C0">
      <w:pPr>
        <w:shd w:val="clear" w:color="auto" w:fill="FFFFFF"/>
        <w:spacing w:after="0"/>
        <w:jc w:val="both"/>
      </w:pPr>
      <w:r>
        <w:rPr>
          <w:rStyle w:val="FootnoteReference"/>
        </w:rPr>
        <w:footnoteRef/>
      </w:r>
      <w:r>
        <w:t xml:space="preserve"> </w:t>
      </w:r>
      <w:hyperlink r:id="rId7" w:history="1">
        <w:r w:rsidRPr="00BD66BF">
          <w:rPr>
            <w:rFonts w:ascii="Times New Roman" w:hAnsi="Times New Roman" w:cs="Times New Roman"/>
            <w:color w:val="0000FF"/>
            <w:sz w:val="20"/>
            <w:szCs w:val="20"/>
            <w:u w:val="single"/>
            <w:lang w:val="ro-RO"/>
          </w:rPr>
          <w:t>https://ec.europa.eu/eurostat/databrowser/view/tps00017/default/table?lang=en</w:t>
        </w:r>
      </w:hyperlink>
    </w:p>
  </w:footnote>
  <w:footnote w:id="11">
    <w:p w:rsidR="005C7BF1" w:rsidRPr="00C935C0" w:rsidRDefault="005C7BF1">
      <w:pPr>
        <w:pStyle w:val="FootnoteText"/>
        <w:rPr>
          <w:lang w:val="en-US"/>
        </w:rPr>
      </w:pPr>
      <w:r>
        <w:rPr>
          <w:rStyle w:val="FootnoteReference"/>
        </w:rPr>
        <w:footnoteRef/>
      </w:r>
      <w:r>
        <w:t xml:space="preserve"> </w:t>
      </w:r>
      <w:r w:rsidRPr="00137F36">
        <w:rPr>
          <w:rFonts w:ascii="Times New Roman" w:hAnsi="Times New Roman" w:cs="Times New Roman"/>
        </w:rPr>
        <w:t>https://ec.europa.eu/eurostat/databrowser/view/demo_fabortind/default/table?lang=en</w:t>
      </w:r>
      <w:r w:rsidRPr="00C935C0">
        <w:rPr>
          <w:lang w:val="en-US"/>
        </w:rPr>
        <w:t xml:space="preserve"> </w:t>
      </w:r>
    </w:p>
  </w:footnote>
  <w:footnote w:id="12">
    <w:p w:rsidR="005C7BF1" w:rsidRPr="00C935C0" w:rsidRDefault="005C7BF1">
      <w:pPr>
        <w:pStyle w:val="FootnoteText"/>
        <w:rPr>
          <w:lang w:val="en-US"/>
        </w:rPr>
      </w:pPr>
      <w:r>
        <w:rPr>
          <w:rStyle w:val="FootnoteReference"/>
        </w:rPr>
        <w:footnoteRef/>
      </w:r>
      <w:r>
        <w:t xml:space="preserve"> </w:t>
      </w:r>
      <w:r w:rsidRPr="00C74165">
        <w:rPr>
          <w:rFonts w:ascii="Times New Roman" w:hAnsi="Times New Roman" w:cs="Times New Roman"/>
        </w:rPr>
        <w:t>https://ec.europa.eu/eurostat/databrowser/view/demo_fabort/default/table?lang=en</w:t>
      </w:r>
      <w:r w:rsidRPr="00C935C0">
        <w:rPr>
          <w:lang w:val="en-US"/>
        </w:rPr>
        <w:t xml:space="preserve"> </w:t>
      </w:r>
    </w:p>
  </w:footnote>
  <w:footnote w:id="13">
    <w:p w:rsidR="005C7BF1" w:rsidRPr="009A179D" w:rsidRDefault="005C7BF1">
      <w:pPr>
        <w:pStyle w:val="FootnoteText"/>
        <w:rPr>
          <w:lang w:val="en-US"/>
        </w:rPr>
      </w:pPr>
      <w:r>
        <w:rPr>
          <w:rStyle w:val="FootnoteReference"/>
        </w:rPr>
        <w:footnoteRef/>
      </w:r>
      <w:r>
        <w:t xml:space="preserve"> </w:t>
      </w:r>
      <w:hyperlink r:id="rId8" w:history="1">
        <w:r w:rsidRPr="00087DD6">
          <w:rPr>
            <w:rStyle w:val="Hyperlink"/>
            <w:rFonts w:ascii="Times New Roman" w:hAnsi="Times New Roman" w:cs="Times New Roman"/>
          </w:rPr>
          <w:t>https://www.who.int/data/gho/data/themes/maternal-and-reproductive-health/maternal-mortality-country-profiles</w:t>
        </w:r>
      </w:hyperlink>
    </w:p>
  </w:footnote>
  <w:footnote w:id="14">
    <w:p w:rsidR="005C7BF1" w:rsidRPr="009A179D" w:rsidRDefault="005C7BF1">
      <w:pPr>
        <w:pStyle w:val="FootnoteText"/>
        <w:rPr>
          <w:lang w:val="en-US"/>
        </w:rPr>
      </w:pPr>
      <w:r>
        <w:rPr>
          <w:rStyle w:val="FootnoteReference"/>
        </w:rPr>
        <w:footnoteRef/>
      </w:r>
      <w:r>
        <w:t xml:space="preserve"> </w:t>
      </w:r>
      <w:hyperlink r:id="rId9" w:history="1">
        <w:r w:rsidRPr="00087DD6">
          <w:rPr>
            <w:rStyle w:val="Hyperlink"/>
            <w:rFonts w:ascii="Times New Roman" w:hAnsi="Times New Roman" w:cs="Times New Roman"/>
          </w:rPr>
          <w:t>https://www.statista.com/statistics/1240400/maternal-mortality-rates-worldwide-by-country/</w:t>
        </w:r>
      </w:hyperlink>
    </w:p>
  </w:footnote>
  <w:footnote w:id="15">
    <w:p w:rsidR="005C7BF1" w:rsidRPr="009A179D" w:rsidRDefault="005C7BF1">
      <w:pPr>
        <w:pStyle w:val="FootnoteText"/>
        <w:rPr>
          <w:lang w:val="en-US"/>
        </w:rPr>
      </w:pPr>
      <w:r>
        <w:rPr>
          <w:rStyle w:val="FootnoteReference"/>
        </w:rPr>
        <w:footnoteRef/>
      </w:r>
      <w:r>
        <w:t xml:space="preserve"> </w:t>
      </w:r>
      <w:hyperlink r:id="rId10" w:history="1">
        <w:r w:rsidRPr="00087DD6">
          <w:rPr>
            <w:rStyle w:val="Hyperlink"/>
            <w:rFonts w:ascii="Times New Roman" w:hAnsi="Times New Roman" w:cs="Times New Roman"/>
          </w:rPr>
          <w:t>https://umbalk.org/wp-content/uploads/2021/09/08.THE-EVOLUTION-OF-MATERNAL-MORTALITY-IN-ROMANIA.pdf</w:t>
        </w:r>
      </w:hyperlink>
    </w:p>
  </w:footnote>
  <w:footnote w:id="16">
    <w:p w:rsidR="005C7BF1" w:rsidRPr="0099484D" w:rsidRDefault="005C7BF1">
      <w:pPr>
        <w:pStyle w:val="FootnoteText"/>
        <w:rPr>
          <w:lang w:val="en-US"/>
        </w:rPr>
      </w:pPr>
      <w:r>
        <w:rPr>
          <w:rStyle w:val="FootnoteReference"/>
        </w:rPr>
        <w:footnoteRef/>
      </w:r>
      <w:r>
        <w:t xml:space="preserve"> </w:t>
      </w:r>
      <w:r w:rsidRPr="00983EA6">
        <w:rPr>
          <w:rFonts w:ascii="Times New Roman" w:hAnsi="Times New Roman" w:cs="Times New Roman"/>
          <w:color w:val="0000FF"/>
          <w:u w:val="single"/>
        </w:rPr>
        <w:t>https://ec.europa.eu/eurostat/databrowser/view/demo_minfs/default/table?lang=en</w:t>
      </w:r>
    </w:p>
  </w:footnote>
  <w:footnote w:id="17">
    <w:p w:rsidR="005C7BF1" w:rsidRPr="0099484D" w:rsidRDefault="005C7BF1">
      <w:pPr>
        <w:pStyle w:val="FootnoteText"/>
        <w:rPr>
          <w:lang w:val="en-US"/>
        </w:rPr>
      </w:pPr>
      <w:r>
        <w:rPr>
          <w:rStyle w:val="FootnoteReference"/>
        </w:rPr>
        <w:footnoteRef/>
      </w:r>
      <w:r>
        <w:t xml:space="preserve"> </w:t>
      </w:r>
      <w:hyperlink r:id="rId11" w:anchor="/pages/tables/insse-table" w:history="1">
        <w:r w:rsidRPr="00A54513">
          <w:rPr>
            <w:rStyle w:val="Hyperlink"/>
            <w:rFonts w:ascii="Times New Roman" w:hAnsi="Times New Roman" w:cs="Times New Roman"/>
          </w:rPr>
          <w:t>http://statistici.insse.ro:8077/tempo-online/#/pages/tables/insse-table</w:t>
        </w:r>
      </w:hyperlink>
    </w:p>
  </w:footnote>
  <w:footnote w:id="18">
    <w:p w:rsidR="005C7BF1" w:rsidRPr="0099484D" w:rsidRDefault="005C7BF1">
      <w:pPr>
        <w:pStyle w:val="FootnoteText"/>
        <w:rPr>
          <w:lang w:val="en-US"/>
        </w:rPr>
      </w:pPr>
      <w:r>
        <w:rPr>
          <w:rStyle w:val="FootnoteReference"/>
        </w:rPr>
        <w:footnoteRef/>
      </w:r>
      <w:r>
        <w:t xml:space="preserve"> </w:t>
      </w:r>
      <w:hyperlink r:id="rId12" w:history="1">
        <w:r w:rsidRPr="00D1097E">
          <w:rPr>
            <w:rFonts w:ascii="Times New Roman" w:hAnsi="Times New Roman" w:cs="Times New Roman"/>
            <w:color w:val="0000FF"/>
            <w:u w:val="single"/>
          </w:rPr>
          <w:t>https://insp.gov.ro/wpfb-file/buletin-informativ-principalii-indicatori-ai-cunoasterii-starii-de-sanatate-anul-2021-comparativ-cu-anul-2020-pdf/</w:t>
        </w:r>
      </w:hyperlink>
    </w:p>
  </w:footnote>
  <w:footnote w:id="19">
    <w:p w:rsidR="005C7BF1" w:rsidRPr="0099484D" w:rsidRDefault="005C7BF1">
      <w:pPr>
        <w:pStyle w:val="FootnoteText"/>
        <w:rPr>
          <w:lang w:val="en-US"/>
        </w:rPr>
      </w:pPr>
      <w:r>
        <w:rPr>
          <w:rStyle w:val="FootnoteReference"/>
        </w:rPr>
        <w:footnoteRef/>
      </w:r>
      <w:r>
        <w:t xml:space="preserve"> </w:t>
      </w:r>
      <w:r w:rsidRPr="00D1097E">
        <w:rPr>
          <w:rFonts w:ascii="Times New Roman" w:eastAsia="Times New Roman" w:hAnsi="Times New Roman" w:cs="Times New Roman"/>
          <w:color w:val="0000FF"/>
          <w:u w:val="single"/>
        </w:rPr>
        <w:t>https://insp.gov.ro/download/cnepss/stare-de-sanatate/rapoarte_si_studii_despre_starea_de_sanatate/starea_de_sanatate/starea_de_sanatate/RAPORTUL-NATIONAL-AL-STARII-DE-SANATATE-A-POPULATIEI-%25E2%2580%2593-2020.pdf</w:t>
      </w:r>
      <w:r w:rsidRPr="00D1097E">
        <w:rPr>
          <w:rFonts w:ascii="Times New Roman" w:eastAsiaTheme="majorEastAsia" w:hAnsi="Times New Roman" w:cs="Times New Roman"/>
          <w:b/>
          <w:color w:val="000000"/>
          <w:lang w:val="fr-FR"/>
        </w:rPr>
        <w:t xml:space="preserve">       </w:t>
      </w:r>
    </w:p>
  </w:footnote>
  <w:footnote w:id="20">
    <w:p w:rsidR="005C7BF1" w:rsidRPr="0099484D" w:rsidRDefault="005C7BF1">
      <w:pPr>
        <w:pStyle w:val="FootnoteText"/>
        <w:rPr>
          <w:lang w:val="en-US"/>
        </w:rPr>
      </w:pPr>
      <w:r>
        <w:rPr>
          <w:rStyle w:val="FootnoteReference"/>
        </w:rPr>
        <w:footnoteRef/>
      </w:r>
      <w:r>
        <w:t xml:space="preserve"> </w:t>
      </w:r>
      <w:hyperlink r:id="rId13" w:history="1">
        <w:r w:rsidRPr="0099484D">
          <w:rPr>
            <w:rStyle w:val="Hyperlink"/>
            <w:rFonts w:ascii="Times New Roman" w:hAnsi="Times New Roman" w:cs="Times New Roman"/>
          </w:rPr>
          <w:t>https://insp.gov.ro/download/cnsisp/Fisiere-de-pe-site-CNSISP/mortalitatea_materna/Mortalitatea-materna-in-Romania-2021.pdf</w:t>
        </w:r>
      </w:hyperlink>
    </w:p>
  </w:footnote>
  <w:footnote w:id="21">
    <w:p w:rsidR="005C7BF1" w:rsidRPr="0099484D" w:rsidRDefault="005C7BF1">
      <w:pPr>
        <w:pStyle w:val="FootnoteText"/>
        <w:rPr>
          <w:lang w:val="en-US"/>
        </w:rPr>
      </w:pPr>
      <w:r>
        <w:rPr>
          <w:rStyle w:val="FootnoteReference"/>
        </w:rPr>
        <w:footnoteRef/>
      </w:r>
      <w:r>
        <w:t xml:space="preserve"> </w:t>
      </w:r>
      <w:hyperlink r:id="rId14" w:history="1">
        <w:r w:rsidRPr="0099484D">
          <w:rPr>
            <w:rFonts w:ascii="Times New Roman" w:hAnsi="Times New Roman" w:cs="Times New Roman"/>
            <w:color w:val="0000FF"/>
            <w:u w:val="single"/>
          </w:rPr>
          <w:t>https://insp.gov.ro/download/cnsisp/Fisiere-de-pe-site-CNSISP/buletin_informativ_-_miscarea_naturala_a_populatiei/Buletin-informativ-Miscarea-naturala-a-populatiei-anul-2021-comparativ-cu-anul-2020.pdf</w:t>
        </w:r>
      </w:hyperlink>
    </w:p>
  </w:footnote>
  <w:footnote w:id="22">
    <w:p w:rsidR="005C7BF1" w:rsidRPr="0099484D" w:rsidRDefault="005C7BF1">
      <w:pPr>
        <w:pStyle w:val="FootnoteText"/>
        <w:rPr>
          <w:lang w:val="en-US"/>
        </w:rPr>
      </w:pPr>
      <w:r>
        <w:rPr>
          <w:rStyle w:val="FootnoteReference"/>
        </w:rPr>
        <w:footnoteRef/>
      </w:r>
      <w:r>
        <w:t xml:space="preserve"> </w:t>
      </w:r>
      <w:hyperlink r:id="rId15" w:history="1">
        <w:r w:rsidRPr="002306FB">
          <w:rPr>
            <w:rFonts w:ascii="Times New Roman" w:hAnsi="Times New Roman" w:cs="Times New Roman"/>
            <w:color w:val="0000FF"/>
            <w:u w:val="single"/>
          </w:rPr>
          <w:t>https://insp.gov.ro/download/cnsisp/Fisiere-de-pe-site-CNSISP/mortalitatea_perinatala/Mortalitatea-perinatala-2020.pdf</w:t>
        </w:r>
      </w:hyperlink>
    </w:p>
  </w:footnote>
  <w:footnote w:id="23">
    <w:p w:rsidR="005C7BF1" w:rsidRPr="0099484D" w:rsidRDefault="005C7BF1" w:rsidP="00E22AAF">
      <w:pPr>
        <w:pStyle w:val="FootnoteText"/>
        <w:rPr>
          <w:lang w:val="en-US"/>
        </w:rPr>
      </w:pPr>
      <w:r>
        <w:rPr>
          <w:rStyle w:val="FootnoteReference"/>
        </w:rPr>
        <w:footnoteRef/>
      </w:r>
      <w:r>
        <w:t xml:space="preserve"> </w:t>
      </w:r>
      <w:hyperlink r:id="rId16" w:history="1">
        <w:r w:rsidRPr="002306FB">
          <w:rPr>
            <w:rFonts w:ascii="Times New Roman" w:hAnsi="Times New Roman" w:cs="Times New Roman"/>
            <w:color w:val="0000FF"/>
            <w:u w:val="single"/>
          </w:rPr>
          <w:t>https://insp.gov.ro/download/cnsisp/Fisiere-de-pe-site-CNSISP/mortalitatea_perinatala/Mortalitatea-perinatala-2020.pdf</w:t>
        </w:r>
      </w:hyperlink>
    </w:p>
  </w:footnote>
  <w:footnote w:id="24">
    <w:p w:rsidR="005C7BF1" w:rsidRPr="00D36B6B" w:rsidRDefault="005C7BF1" w:rsidP="00D36B6B">
      <w:pPr>
        <w:spacing w:after="0"/>
        <w:jc w:val="both"/>
        <w:rPr>
          <w:rFonts w:ascii="Times New Roman" w:eastAsia="Times New Roman" w:hAnsi="Times New Roman" w:cs="Times New Roman"/>
          <w:sz w:val="20"/>
          <w:szCs w:val="20"/>
          <w:lang w:val="ro-RO"/>
        </w:rPr>
      </w:pPr>
      <w:r>
        <w:rPr>
          <w:rStyle w:val="FootnoteReference"/>
        </w:rPr>
        <w:footnoteRef/>
      </w:r>
      <w:r>
        <w:t xml:space="preserve"> </w:t>
      </w:r>
      <w:r>
        <w:rPr>
          <w:rFonts w:ascii="Times New Roman" w:eastAsia="Times New Roman" w:hAnsi="Times New Roman" w:cs="Times New Roman"/>
        </w:rPr>
        <w:t xml:space="preserve"> </w:t>
      </w:r>
      <w:hyperlink r:id="rId17" w:history="1">
        <w:r w:rsidRPr="00D36B6B">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p>
    <w:p w:rsidR="005C7BF1" w:rsidRPr="00D36B6B" w:rsidRDefault="005C7BF1">
      <w:pPr>
        <w:pStyle w:val="FootnoteText"/>
        <w:rPr>
          <w:lang w:val="en-US"/>
        </w:rPr>
      </w:pPr>
    </w:p>
  </w:footnote>
  <w:footnote w:id="25">
    <w:p w:rsidR="005C7BF1" w:rsidRPr="00BF227C" w:rsidRDefault="005C7BF1" w:rsidP="00D36B6B">
      <w:pPr>
        <w:shd w:val="clear" w:color="auto" w:fill="FFFFFF"/>
        <w:spacing w:after="0"/>
        <w:jc w:val="both"/>
        <w:rPr>
          <w:rFonts w:ascii="Times New Roman" w:eastAsia="Times New Roman" w:hAnsi="Times New Roman" w:cs="Times New Roman"/>
          <w:b/>
          <w:color w:val="0000FF"/>
          <w:sz w:val="20"/>
          <w:szCs w:val="20"/>
          <w:lang w:val="ro-RO"/>
        </w:rPr>
      </w:pPr>
      <w:r>
        <w:rPr>
          <w:rStyle w:val="FootnoteReference"/>
        </w:rPr>
        <w:footnoteRef/>
      </w:r>
      <w:r>
        <w:t xml:space="preserve"> </w:t>
      </w:r>
      <w:hyperlink r:id="rId18" w:history="1">
        <w:r w:rsidRPr="00BF227C">
          <w:rPr>
            <w:rFonts w:ascii="Times New Roman" w:eastAsiaTheme="majorEastAsia" w:hAnsi="Times New Roman" w:cs="Times New Roman"/>
            <w:color w:val="0000FF"/>
            <w:sz w:val="20"/>
            <w:szCs w:val="20"/>
            <w:u w:val="single"/>
            <w:lang w:val="ro-RO"/>
          </w:rPr>
          <w:t>http://www.cnlas.ro/images/doc/31122020_rom.pdf</w:t>
        </w:r>
      </w:hyperlink>
      <w:r w:rsidRPr="00BF227C">
        <w:rPr>
          <w:rFonts w:ascii="Times New Roman" w:eastAsiaTheme="majorEastAsia" w:hAnsi="Times New Roman" w:cs="Times New Roman"/>
          <w:color w:val="0000FF"/>
          <w:sz w:val="20"/>
          <w:szCs w:val="20"/>
          <w:u w:val="single"/>
          <w:lang w:val="ro-RO"/>
        </w:rPr>
        <w:t xml:space="preserve"> </w:t>
      </w:r>
    </w:p>
    <w:p w:rsidR="005C7BF1" w:rsidRPr="00D36B6B" w:rsidRDefault="005C7BF1">
      <w:pPr>
        <w:pStyle w:val="FootnoteText"/>
        <w:rPr>
          <w:lang w:val="en-US"/>
        </w:rPr>
      </w:pPr>
    </w:p>
  </w:footnote>
  <w:footnote w:id="26">
    <w:p w:rsidR="005C7BF1" w:rsidRPr="00D36B6B" w:rsidRDefault="005C7BF1" w:rsidP="00D36B6B">
      <w:pPr>
        <w:spacing w:after="0"/>
        <w:jc w:val="both"/>
      </w:pPr>
      <w:r w:rsidRPr="00D36B6B">
        <w:rPr>
          <w:rStyle w:val="FootnoteReference"/>
          <w:rFonts w:ascii="Times New Roman" w:hAnsi="Times New Roman" w:cs="Times New Roman"/>
          <w:sz w:val="20"/>
          <w:szCs w:val="20"/>
        </w:rPr>
        <w:footnoteRef/>
      </w:r>
      <w:r w:rsidRPr="00D36B6B">
        <w:rPr>
          <w:rFonts w:ascii="Times New Roman" w:hAnsi="Times New Roman" w:cs="Times New Roman"/>
          <w:sz w:val="20"/>
          <w:szCs w:val="20"/>
        </w:rPr>
        <w:t xml:space="preserve"> </w:t>
      </w:r>
      <w:hyperlink r:id="rId19" w:history="1">
        <w:r w:rsidRPr="00D36B6B">
          <w:rPr>
            <w:rStyle w:val="Hyperlink"/>
            <w:rFonts w:ascii="Times New Roman" w:eastAsiaTheme="majorEastAsia" w:hAnsi="Times New Roman" w:cs="Times New Roman"/>
            <w:sz w:val="20"/>
            <w:szCs w:val="20"/>
          </w:rPr>
          <w:t>https://www.who.int/news-room/fact-sheets/detail/cervical-cancer</w:t>
        </w:r>
      </w:hyperlink>
    </w:p>
  </w:footnote>
  <w:footnote w:id="27">
    <w:p w:rsidR="005C7BF1" w:rsidRPr="00D36B6B" w:rsidRDefault="005C7BF1" w:rsidP="00D36B6B">
      <w:pPr>
        <w:spacing w:after="0"/>
        <w:jc w:val="both"/>
      </w:pPr>
      <w:r w:rsidRPr="00D36B6B">
        <w:rPr>
          <w:rStyle w:val="FootnoteReference"/>
          <w:rFonts w:ascii="Times New Roman" w:hAnsi="Times New Roman" w:cs="Times New Roman"/>
          <w:sz w:val="20"/>
          <w:szCs w:val="20"/>
        </w:rPr>
        <w:footnoteRef/>
      </w:r>
      <w:r w:rsidRPr="00D36B6B">
        <w:rPr>
          <w:rFonts w:ascii="Times New Roman" w:hAnsi="Times New Roman" w:cs="Times New Roman"/>
          <w:sz w:val="20"/>
          <w:szCs w:val="20"/>
        </w:rPr>
        <w:t xml:space="preserve"> </w:t>
      </w:r>
      <w:hyperlink r:id="rId20" w:history="1">
        <w:r w:rsidRPr="00D36B6B">
          <w:rPr>
            <w:rStyle w:val="Hyperlink"/>
            <w:rFonts w:ascii="Times New Roman" w:eastAsiaTheme="majorEastAsia" w:hAnsi="Times New Roman" w:cs="Times New Roman"/>
            <w:sz w:val="20"/>
            <w:szCs w:val="20"/>
          </w:rPr>
          <w:t>https://www.ecdc.europa.eu/en/human-papillomavirus/factsheet</w:t>
        </w:r>
      </w:hyperlink>
    </w:p>
  </w:footnote>
  <w:footnote w:id="28">
    <w:p w:rsidR="005C7BF1" w:rsidRPr="00D36B6B" w:rsidRDefault="005C7BF1" w:rsidP="00D36B6B">
      <w:pPr>
        <w:spacing w:after="0" w:line="240" w:lineRule="auto"/>
        <w:jc w:val="both"/>
      </w:pPr>
      <w:r>
        <w:rPr>
          <w:rStyle w:val="FootnoteReference"/>
        </w:rPr>
        <w:footnoteRef/>
      </w:r>
      <w:r>
        <w:t xml:space="preserve"> </w:t>
      </w:r>
      <w:hyperlink r:id="rId21" w:history="1">
        <w:r w:rsidRPr="00D36B6B">
          <w:rPr>
            <w:rFonts w:ascii="Times New Roman" w:eastAsiaTheme="majorEastAsia" w:hAnsi="Times New Roman" w:cs="Times New Roman"/>
            <w:color w:val="0000FF"/>
            <w:sz w:val="20"/>
            <w:szCs w:val="20"/>
            <w:u w:val="single"/>
          </w:rPr>
          <w:t>https://www.who.int/news-room/fact-sheets/detail/cervical-cancer</w:t>
        </w:r>
      </w:hyperlink>
    </w:p>
  </w:footnote>
  <w:footnote w:id="29">
    <w:p w:rsidR="005C7BF1" w:rsidRPr="00D36B6B" w:rsidRDefault="005C7BF1" w:rsidP="00D36B6B">
      <w:pPr>
        <w:spacing w:after="0"/>
        <w:jc w:val="both"/>
        <w:rPr>
          <w:rFonts w:ascii="Times New Roman" w:hAnsi="Times New Roman" w:cs="Times New Roman"/>
          <w:color w:val="0000FF"/>
          <w:sz w:val="20"/>
          <w:szCs w:val="20"/>
        </w:rPr>
      </w:pPr>
      <w:r>
        <w:rPr>
          <w:rStyle w:val="FootnoteReference"/>
        </w:rPr>
        <w:footnoteRef/>
      </w:r>
      <w:r>
        <w:t xml:space="preserve"> </w:t>
      </w:r>
      <w:hyperlink r:id="rId22" w:history="1">
        <w:r w:rsidRPr="00EF5C2D">
          <w:rPr>
            <w:rStyle w:val="Hyperlink"/>
            <w:rFonts w:ascii="Times New Roman" w:eastAsia="Times New Roman" w:hAnsi="Times New Roman" w:cs="Times New Roman"/>
            <w:bCs/>
            <w:sz w:val="20"/>
            <w:szCs w:val="20"/>
          </w:rPr>
          <w:t>https://ec.europa.eu/eurostat/databrowser/view/hlth_ps_scre/default/table?lang=en</w:t>
        </w:r>
      </w:hyperlink>
    </w:p>
  </w:footnote>
  <w:footnote w:id="30">
    <w:p w:rsidR="005C7BF1" w:rsidRPr="00D36B6B" w:rsidRDefault="005C7BF1" w:rsidP="00D36B6B">
      <w:pPr>
        <w:spacing w:after="0"/>
        <w:jc w:val="both"/>
      </w:pPr>
      <w:r w:rsidRPr="00D36B6B">
        <w:rPr>
          <w:rStyle w:val="FootnoteReference"/>
          <w:rFonts w:ascii="Times New Roman" w:hAnsi="Times New Roman" w:cs="Times New Roman"/>
          <w:sz w:val="20"/>
          <w:szCs w:val="20"/>
        </w:rPr>
        <w:footnoteRef/>
      </w:r>
      <w:r w:rsidRPr="00D36B6B">
        <w:rPr>
          <w:rFonts w:ascii="Times New Roman" w:hAnsi="Times New Roman" w:cs="Times New Roman"/>
          <w:sz w:val="20"/>
          <w:szCs w:val="20"/>
        </w:rPr>
        <w:t xml:space="preserve"> </w:t>
      </w:r>
      <w:hyperlink r:id="rId23" w:history="1">
        <w:r w:rsidRPr="00D36B6B">
          <w:rPr>
            <w:rStyle w:val="Hyperlink"/>
            <w:rFonts w:ascii="Times New Roman" w:hAnsi="Times New Roman" w:cs="Times New Roman"/>
            <w:sz w:val="20"/>
            <w:szCs w:val="20"/>
          </w:rPr>
          <w:t>https://ec.europa.eu/commission/presscorner/detail/eu/ip_22_5562</w:t>
        </w:r>
      </w:hyperlink>
    </w:p>
  </w:footnote>
  <w:footnote w:id="31">
    <w:p w:rsidR="005C7BF1" w:rsidRPr="00D36B6B" w:rsidRDefault="005C7BF1" w:rsidP="00492D7E">
      <w:pPr>
        <w:pStyle w:val="FootnoteText"/>
        <w:rPr>
          <w:lang w:val="en-US"/>
        </w:rPr>
      </w:pPr>
      <w:r>
        <w:rPr>
          <w:rStyle w:val="FootnoteReference"/>
        </w:rPr>
        <w:footnoteRef/>
      </w:r>
      <w:r>
        <w:t xml:space="preserve"> </w:t>
      </w:r>
      <w:hyperlink r:id="rId24" w:anchor="id=19308&amp;tab=table" w:history="1">
        <w:r w:rsidRPr="00216E7C">
          <w:rPr>
            <w:rStyle w:val="Hyperlink"/>
            <w:rFonts w:ascii="Times New Roman" w:eastAsiaTheme="majorEastAsia" w:hAnsi="Times New Roman" w:cs="Times New Roman"/>
          </w:rPr>
          <w:t>https://gateway.euro.who.int/en/indicators/hfa_377-2360-incidence-of-cervix-uteri-cancer-per-100-000/visualizations/#id=19308&amp;tab=table</w:t>
        </w:r>
      </w:hyperlink>
    </w:p>
  </w:footnote>
  <w:footnote w:id="32">
    <w:p w:rsidR="005C7BF1" w:rsidRPr="00D36B6B" w:rsidRDefault="005C7BF1" w:rsidP="00C71359">
      <w:pPr>
        <w:spacing w:after="0"/>
        <w:jc w:val="both"/>
      </w:pPr>
      <w:r>
        <w:rPr>
          <w:rStyle w:val="FootnoteReference"/>
        </w:rPr>
        <w:footnoteRef/>
      </w:r>
      <w:r>
        <w:t xml:space="preserve"> </w:t>
      </w:r>
      <w:hyperlink r:id="rId25" w:history="1">
        <w:r w:rsidRPr="00C71359">
          <w:rPr>
            <w:rFonts w:ascii="Times New Roman" w:eastAsiaTheme="majorEastAsia" w:hAnsi="Times New Roman" w:cs="Times New Roman"/>
            <w:color w:val="0000FF"/>
            <w:sz w:val="20"/>
            <w:szCs w:val="20"/>
            <w:u w:val="single"/>
            <w:lang w:val="ro-RO"/>
          </w:rPr>
          <w:t>http://www.old.iocn.ro/Centrul-de-prevenire-si-control-al-cancerului/Programul-de-screening-pentru-cancerul-de-col-uterin/Informatii-de-interes-general.html</w:t>
        </w:r>
      </w:hyperlink>
    </w:p>
  </w:footnote>
  <w:footnote w:id="33">
    <w:p w:rsidR="005C7BF1" w:rsidRPr="00C71359" w:rsidRDefault="005C7BF1" w:rsidP="00C71359">
      <w:pPr>
        <w:spacing w:after="0" w:line="240" w:lineRule="auto"/>
        <w:jc w:val="both"/>
        <w:rPr>
          <w:rFonts w:ascii="Times New Roman" w:hAnsi="Times New Roman" w:cs="Times New Roman"/>
          <w:sz w:val="20"/>
          <w:szCs w:val="20"/>
        </w:rPr>
      </w:pPr>
      <w:r>
        <w:rPr>
          <w:rStyle w:val="FootnoteReference"/>
        </w:rPr>
        <w:footnoteRef/>
      </w:r>
      <w:r>
        <w:t xml:space="preserve"> </w:t>
      </w:r>
      <w:hyperlink r:id="rId26" w:history="1">
        <w:r w:rsidRPr="00C71359">
          <w:rPr>
            <w:rFonts w:ascii="Times New Roman" w:eastAsiaTheme="majorEastAsia" w:hAnsi="Times New Roman" w:cs="Times New Roman"/>
            <w:color w:val="0000FF"/>
            <w:sz w:val="20"/>
            <w:szCs w:val="20"/>
            <w:u w:val="single"/>
          </w:rPr>
          <w:t>https://appsso.eurostat.ec.europa.eu/nui/show.do?dataset=hlth_ps_scre&amp;lang=en</w:t>
        </w:r>
      </w:hyperlink>
    </w:p>
  </w:footnote>
  <w:footnote w:id="34">
    <w:p w:rsidR="005C7BF1" w:rsidRPr="00C71359" w:rsidRDefault="005C7BF1">
      <w:pPr>
        <w:pStyle w:val="FootnoteText"/>
        <w:rPr>
          <w:lang w:val="en-US"/>
        </w:rPr>
      </w:pPr>
      <w:r>
        <w:rPr>
          <w:rStyle w:val="FootnoteReference"/>
        </w:rPr>
        <w:footnoteRef/>
      </w:r>
      <w:r>
        <w:t xml:space="preserve"> </w:t>
      </w:r>
      <w:hyperlink r:id="rId27" w:history="1">
        <w:r w:rsidRPr="002306FB">
          <w:rPr>
            <w:rFonts w:ascii="Times New Roman" w:hAnsi="Times New Roman" w:cs="Times New Roman"/>
            <w:color w:val="0000FF"/>
            <w:u w:val="single"/>
          </w:rPr>
          <w:t>https://population.un.org/dataportal/data/indicators/5/locations/642/start/2012/end/2022/table/pivotbylocation</w:t>
        </w:r>
      </w:hyperlink>
    </w:p>
  </w:footnote>
  <w:footnote w:id="35">
    <w:p w:rsidR="005C7BF1" w:rsidRPr="00C71359" w:rsidRDefault="005C7BF1">
      <w:pPr>
        <w:pStyle w:val="FootnoteText"/>
        <w:rPr>
          <w:lang w:val="en-US"/>
        </w:rPr>
      </w:pPr>
      <w:r>
        <w:rPr>
          <w:rStyle w:val="FootnoteReference"/>
        </w:rPr>
        <w:footnoteRef/>
      </w:r>
      <w:r>
        <w:t xml:space="preserve"> </w:t>
      </w:r>
      <w:hyperlink r:id="rId28" w:history="1">
        <w:r w:rsidRPr="00C71359">
          <w:rPr>
            <w:rFonts w:ascii="Times New Roman" w:hAnsi="Times New Roman" w:cs="Times New Roman"/>
            <w:color w:val="0000FF"/>
            <w:u w:val="single"/>
          </w:rPr>
          <w:t>https://www.unfpa.org/data/world-population/RO</w:t>
        </w:r>
      </w:hyperlink>
      <w:r>
        <w:rPr>
          <w:rFonts w:ascii="Times New Roman" w:hAnsi="Times New Roman" w:cs="Times New Roman"/>
          <w:color w:val="0000FF"/>
          <w:u w:val="single"/>
        </w:rPr>
        <w:t xml:space="preserve"> </w:t>
      </w:r>
    </w:p>
  </w:footnote>
  <w:footnote w:id="36">
    <w:p w:rsidR="005C7BF1" w:rsidRDefault="005C7BF1" w:rsidP="00C71359">
      <w:pPr>
        <w:spacing w:after="0"/>
        <w:jc w:val="both"/>
      </w:pPr>
      <w:r>
        <w:rPr>
          <w:rStyle w:val="FootnoteReference"/>
        </w:rPr>
        <w:footnoteRef/>
      </w:r>
      <w:r>
        <w:t xml:space="preserve"> </w:t>
      </w:r>
      <w:hyperlink r:id="rId29" w:history="1">
        <w:r w:rsidRPr="00C71359">
          <w:rPr>
            <w:rStyle w:val="Hyperlink"/>
            <w:rFonts w:ascii="Times New Roman" w:hAnsi="Times New Roman" w:cs="Times New Roman"/>
            <w:sz w:val="20"/>
            <w:szCs w:val="20"/>
          </w:rPr>
          <w:t>https://www.who.int/publications/i/item/WHO-SRH-22.2</w:t>
        </w:r>
      </w:hyperlink>
      <w:r w:rsidRPr="00C71359">
        <w:rPr>
          <w:rFonts w:ascii="Times New Roman" w:hAnsi="Times New Roman" w:cs="Times New Roman"/>
          <w:sz w:val="20"/>
          <w:szCs w:val="20"/>
        </w:rPr>
        <w:t xml:space="preserve"> </w:t>
      </w:r>
    </w:p>
  </w:footnote>
  <w:footnote w:id="37">
    <w:p w:rsidR="005C7BF1" w:rsidRDefault="005C7BF1" w:rsidP="00C71359">
      <w:pPr>
        <w:pStyle w:val="ListParagraph"/>
        <w:spacing w:after="0"/>
        <w:ind w:left="0"/>
        <w:jc w:val="both"/>
      </w:pPr>
      <w:r>
        <w:rPr>
          <w:rStyle w:val="FootnoteReference"/>
        </w:rPr>
        <w:footnoteRef/>
      </w:r>
      <w:r>
        <w:t xml:space="preserve"> </w:t>
      </w:r>
      <w:hyperlink r:id="rId30" w:history="1">
        <w:r w:rsidRPr="00C71359">
          <w:rPr>
            <w:rStyle w:val="Hyperlink"/>
            <w:rFonts w:ascii="Times New Roman" w:hAnsi="Times New Roman" w:cs="Times New Roman"/>
            <w:sz w:val="20"/>
            <w:szCs w:val="20"/>
          </w:rPr>
          <w:t>https://www.who.int/publications/i/item/9789240052659</w:t>
        </w:r>
      </w:hyperlink>
    </w:p>
  </w:footnote>
  <w:footnote w:id="38">
    <w:p w:rsidR="005C7BF1" w:rsidRPr="00C71359" w:rsidRDefault="005C7BF1" w:rsidP="00C71359">
      <w:pPr>
        <w:spacing w:after="0"/>
        <w:jc w:val="both"/>
        <w:rPr>
          <w:rFonts w:ascii="Times New Roman" w:hAnsi="Times New Roman" w:cs="Times New Roman"/>
          <w:color w:val="0000FF"/>
          <w:sz w:val="20"/>
          <w:szCs w:val="20"/>
          <w:u w:val="single"/>
        </w:rPr>
      </w:pPr>
      <w:r w:rsidRPr="00C71359">
        <w:rPr>
          <w:rStyle w:val="FootnoteReference"/>
          <w:rFonts w:ascii="Times New Roman" w:hAnsi="Times New Roman" w:cs="Times New Roman"/>
          <w:sz w:val="20"/>
          <w:szCs w:val="20"/>
        </w:rPr>
        <w:footnoteRef/>
      </w:r>
      <w:r w:rsidRPr="00C71359">
        <w:rPr>
          <w:rFonts w:ascii="Times New Roman" w:hAnsi="Times New Roman" w:cs="Times New Roman"/>
          <w:color w:val="0000FF"/>
          <w:sz w:val="20"/>
          <w:szCs w:val="20"/>
          <w:u w:val="single"/>
        </w:rPr>
        <w:t>https://www.unicef.org/romania/ro/pove%C8%99ti/mamele-adolescente-%C8%99i-p%C4%83rin%C8%9Bii-tineri-o-privire-dincolo-de-statistici</w:t>
      </w:r>
    </w:p>
    <w:p w:rsidR="005C7BF1" w:rsidRDefault="005C7BF1">
      <w:pPr>
        <w:pStyle w:val="FootnoteText"/>
        <w:rPr>
          <w:rFonts w:ascii="Times New Roman" w:hAnsi="Times New Roman" w:cs="Times New Roman"/>
        </w:rPr>
      </w:pPr>
    </w:p>
    <w:p w:rsidR="005C7BF1" w:rsidRPr="00C71359" w:rsidRDefault="005C7BF1">
      <w:pPr>
        <w:pStyle w:val="FootnoteText"/>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E2767"/>
    <w:multiLevelType w:val="hybridMultilevel"/>
    <w:tmpl w:val="30769634"/>
    <w:lvl w:ilvl="0" w:tplc="788643DE">
      <w:start w:val="1"/>
      <w:numFmt w:val="bullet"/>
      <w:lvlText w:val=""/>
      <w:lvlJc w:val="left"/>
      <w:pPr>
        <w:ind w:left="1260" w:hanging="360"/>
      </w:pPr>
      <w:rPr>
        <w:rFonts w:ascii="Symbol" w:hAnsi="Symbol" w:hint="default"/>
        <w:sz w:val="18"/>
        <w:szCs w:val="18"/>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12200854"/>
    <w:multiLevelType w:val="hybridMultilevel"/>
    <w:tmpl w:val="51F2202C"/>
    <w:lvl w:ilvl="0" w:tplc="8BD2920E">
      <w:start w:val="1"/>
      <w:numFmt w:val="bullet"/>
      <w:lvlText w:val="➢"/>
      <w:lvlJc w:val="left"/>
    </w:lvl>
    <w:lvl w:ilvl="1" w:tplc="8614157C">
      <w:start w:val="6"/>
      <w:numFmt w:val="decimal"/>
      <w:lvlText w:val="%2."/>
      <w:lvlJc w:val="left"/>
    </w:lvl>
    <w:lvl w:ilvl="2" w:tplc="BC08F2D2">
      <w:numFmt w:val="decimal"/>
      <w:lvlText w:val=""/>
      <w:lvlJc w:val="left"/>
    </w:lvl>
    <w:lvl w:ilvl="3" w:tplc="221CE402">
      <w:numFmt w:val="decimal"/>
      <w:lvlText w:val=""/>
      <w:lvlJc w:val="left"/>
    </w:lvl>
    <w:lvl w:ilvl="4" w:tplc="D422D492">
      <w:numFmt w:val="decimal"/>
      <w:lvlText w:val=""/>
      <w:lvlJc w:val="left"/>
    </w:lvl>
    <w:lvl w:ilvl="5" w:tplc="A6E67006">
      <w:numFmt w:val="decimal"/>
      <w:lvlText w:val=""/>
      <w:lvlJc w:val="left"/>
    </w:lvl>
    <w:lvl w:ilvl="6" w:tplc="08E0ECCE">
      <w:numFmt w:val="decimal"/>
      <w:lvlText w:val=""/>
      <w:lvlJc w:val="left"/>
    </w:lvl>
    <w:lvl w:ilvl="7" w:tplc="33CA1B7C">
      <w:numFmt w:val="decimal"/>
      <w:lvlText w:val=""/>
      <w:lvlJc w:val="left"/>
    </w:lvl>
    <w:lvl w:ilvl="8" w:tplc="CC86B6EA">
      <w:numFmt w:val="decimal"/>
      <w:lvlText w:val=""/>
      <w:lvlJc w:val="left"/>
    </w:lvl>
  </w:abstractNum>
  <w:abstractNum w:abstractNumId="2" w15:restartNumberingAfterBreak="0">
    <w:nsid w:val="154067E2"/>
    <w:multiLevelType w:val="hybridMultilevel"/>
    <w:tmpl w:val="8B3E3706"/>
    <w:lvl w:ilvl="0" w:tplc="7100A7BA">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5F9323F"/>
    <w:multiLevelType w:val="hybridMultilevel"/>
    <w:tmpl w:val="491C4E4A"/>
    <w:lvl w:ilvl="0" w:tplc="2D3E2930">
      <w:start w:val="2"/>
      <w:numFmt w:val="bullet"/>
      <w:lvlText w:val=""/>
      <w:lvlJc w:val="left"/>
      <w:pPr>
        <w:ind w:left="435" w:hanging="360"/>
      </w:pPr>
      <w:rPr>
        <w:rFonts w:ascii="Wingdings" w:eastAsiaTheme="minorHAnsi"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18262F8A"/>
    <w:multiLevelType w:val="multilevel"/>
    <w:tmpl w:val="DA64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B92ACF"/>
    <w:multiLevelType w:val="multilevel"/>
    <w:tmpl w:val="FC12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B623E2"/>
    <w:multiLevelType w:val="multilevel"/>
    <w:tmpl w:val="8AAC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D76563"/>
    <w:multiLevelType w:val="hybridMultilevel"/>
    <w:tmpl w:val="9966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4A43C4"/>
    <w:multiLevelType w:val="multilevel"/>
    <w:tmpl w:val="021A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ED5B3E"/>
    <w:multiLevelType w:val="multilevel"/>
    <w:tmpl w:val="360E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50010"/>
    <w:multiLevelType w:val="multilevel"/>
    <w:tmpl w:val="23365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6048D1"/>
    <w:multiLevelType w:val="multilevel"/>
    <w:tmpl w:val="9CE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F0172E"/>
    <w:multiLevelType w:val="multilevel"/>
    <w:tmpl w:val="01A2E6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60F60065"/>
    <w:multiLevelType w:val="multilevel"/>
    <w:tmpl w:val="9D84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4D03BA"/>
    <w:multiLevelType w:val="hybridMultilevel"/>
    <w:tmpl w:val="DF4AB96A"/>
    <w:lvl w:ilvl="0" w:tplc="198C800C">
      <w:start w:val="11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7A8E7706"/>
    <w:multiLevelType w:val="hybridMultilevel"/>
    <w:tmpl w:val="AF6AFB4E"/>
    <w:lvl w:ilvl="0" w:tplc="8D7AE9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E211C3"/>
    <w:multiLevelType w:val="hybridMultilevel"/>
    <w:tmpl w:val="68A4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14"/>
  </w:num>
  <w:num w:numId="5">
    <w:abstractNumId w:val="6"/>
  </w:num>
  <w:num w:numId="6">
    <w:abstractNumId w:val="8"/>
  </w:num>
  <w:num w:numId="7">
    <w:abstractNumId w:val="12"/>
  </w:num>
  <w:num w:numId="8">
    <w:abstractNumId w:val="11"/>
  </w:num>
  <w:num w:numId="9">
    <w:abstractNumId w:val="5"/>
  </w:num>
  <w:num w:numId="10">
    <w:abstractNumId w:val="4"/>
  </w:num>
  <w:num w:numId="11">
    <w:abstractNumId w:val="10"/>
  </w:num>
  <w:num w:numId="12">
    <w:abstractNumId w:val="1"/>
  </w:num>
  <w:num w:numId="13">
    <w:abstractNumId w:val="15"/>
  </w:num>
  <w:num w:numId="14">
    <w:abstractNumId w:val="13"/>
  </w:num>
  <w:num w:numId="15">
    <w:abstractNumId w:val="9"/>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29B"/>
    <w:rsid w:val="00007517"/>
    <w:rsid w:val="00022895"/>
    <w:rsid w:val="00022FEA"/>
    <w:rsid w:val="000256AF"/>
    <w:rsid w:val="00035D7F"/>
    <w:rsid w:val="000444AB"/>
    <w:rsid w:val="0004635A"/>
    <w:rsid w:val="00047353"/>
    <w:rsid w:val="00054587"/>
    <w:rsid w:val="00071C3B"/>
    <w:rsid w:val="0007473A"/>
    <w:rsid w:val="000947D8"/>
    <w:rsid w:val="000A0487"/>
    <w:rsid w:val="000A0AE6"/>
    <w:rsid w:val="000A7536"/>
    <w:rsid w:val="000B3F94"/>
    <w:rsid w:val="000C3136"/>
    <w:rsid w:val="000D20EA"/>
    <w:rsid w:val="000E21D8"/>
    <w:rsid w:val="000E46D7"/>
    <w:rsid w:val="00106844"/>
    <w:rsid w:val="0010783B"/>
    <w:rsid w:val="001102E0"/>
    <w:rsid w:val="001125B6"/>
    <w:rsid w:val="00127092"/>
    <w:rsid w:val="00131E62"/>
    <w:rsid w:val="001351A8"/>
    <w:rsid w:val="00137F36"/>
    <w:rsid w:val="001419C9"/>
    <w:rsid w:val="00141AC3"/>
    <w:rsid w:val="00155CA8"/>
    <w:rsid w:val="001563CD"/>
    <w:rsid w:val="00157087"/>
    <w:rsid w:val="00167FB9"/>
    <w:rsid w:val="00174AF5"/>
    <w:rsid w:val="00182D8E"/>
    <w:rsid w:val="001A0812"/>
    <w:rsid w:val="001A3F0F"/>
    <w:rsid w:val="001A4BDD"/>
    <w:rsid w:val="001C02E4"/>
    <w:rsid w:val="001E4C6A"/>
    <w:rsid w:val="001E533C"/>
    <w:rsid w:val="001E7023"/>
    <w:rsid w:val="001E7477"/>
    <w:rsid w:val="002042A2"/>
    <w:rsid w:val="00215401"/>
    <w:rsid w:val="00216E7C"/>
    <w:rsid w:val="00221AF3"/>
    <w:rsid w:val="002306FB"/>
    <w:rsid w:val="00241A19"/>
    <w:rsid w:val="00246438"/>
    <w:rsid w:val="00247CB7"/>
    <w:rsid w:val="00271014"/>
    <w:rsid w:val="00272CF9"/>
    <w:rsid w:val="0028091C"/>
    <w:rsid w:val="002851EF"/>
    <w:rsid w:val="00290759"/>
    <w:rsid w:val="00295803"/>
    <w:rsid w:val="002A17B2"/>
    <w:rsid w:val="002A3401"/>
    <w:rsid w:val="002B050E"/>
    <w:rsid w:val="002B5BE7"/>
    <w:rsid w:val="002B718F"/>
    <w:rsid w:val="002C4397"/>
    <w:rsid w:val="002C43E1"/>
    <w:rsid w:val="002C5433"/>
    <w:rsid w:val="002D67AD"/>
    <w:rsid w:val="002E17C5"/>
    <w:rsid w:val="002E414B"/>
    <w:rsid w:val="002E45D0"/>
    <w:rsid w:val="002F1A19"/>
    <w:rsid w:val="002F45B8"/>
    <w:rsid w:val="00313B9B"/>
    <w:rsid w:val="00315420"/>
    <w:rsid w:val="00322F43"/>
    <w:rsid w:val="00324F3A"/>
    <w:rsid w:val="0032773A"/>
    <w:rsid w:val="003348FC"/>
    <w:rsid w:val="003350EB"/>
    <w:rsid w:val="00335C47"/>
    <w:rsid w:val="00343D9E"/>
    <w:rsid w:val="00344EB0"/>
    <w:rsid w:val="003504C7"/>
    <w:rsid w:val="00352087"/>
    <w:rsid w:val="00353053"/>
    <w:rsid w:val="00383D6B"/>
    <w:rsid w:val="00387756"/>
    <w:rsid w:val="003C1088"/>
    <w:rsid w:val="003D037F"/>
    <w:rsid w:val="003E54BF"/>
    <w:rsid w:val="003F23F1"/>
    <w:rsid w:val="003F34F7"/>
    <w:rsid w:val="00427CA8"/>
    <w:rsid w:val="00430E73"/>
    <w:rsid w:val="00440810"/>
    <w:rsid w:val="004603E4"/>
    <w:rsid w:val="004764E2"/>
    <w:rsid w:val="00477424"/>
    <w:rsid w:val="00481D00"/>
    <w:rsid w:val="00492B43"/>
    <w:rsid w:val="00492D7E"/>
    <w:rsid w:val="00495C9C"/>
    <w:rsid w:val="004B27AB"/>
    <w:rsid w:val="004B7B62"/>
    <w:rsid w:val="004C1B6E"/>
    <w:rsid w:val="004C3457"/>
    <w:rsid w:val="004C4E16"/>
    <w:rsid w:val="004D7FFB"/>
    <w:rsid w:val="004F21B4"/>
    <w:rsid w:val="004F38B0"/>
    <w:rsid w:val="004F4860"/>
    <w:rsid w:val="004F6822"/>
    <w:rsid w:val="00502564"/>
    <w:rsid w:val="005041F2"/>
    <w:rsid w:val="005111F0"/>
    <w:rsid w:val="00525ACC"/>
    <w:rsid w:val="0053001F"/>
    <w:rsid w:val="0053505E"/>
    <w:rsid w:val="0057360F"/>
    <w:rsid w:val="00580DA2"/>
    <w:rsid w:val="00582428"/>
    <w:rsid w:val="0058612B"/>
    <w:rsid w:val="0059330F"/>
    <w:rsid w:val="00595160"/>
    <w:rsid w:val="00595F43"/>
    <w:rsid w:val="005A29D7"/>
    <w:rsid w:val="005A2FEB"/>
    <w:rsid w:val="005A3353"/>
    <w:rsid w:val="005C1E98"/>
    <w:rsid w:val="005C7BF1"/>
    <w:rsid w:val="005D6697"/>
    <w:rsid w:val="005E082F"/>
    <w:rsid w:val="00602A3E"/>
    <w:rsid w:val="0060763A"/>
    <w:rsid w:val="0061328B"/>
    <w:rsid w:val="00621641"/>
    <w:rsid w:val="006216EB"/>
    <w:rsid w:val="00621AA0"/>
    <w:rsid w:val="006235D5"/>
    <w:rsid w:val="0062421D"/>
    <w:rsid w:val="0062540C"/>
    <w:rsid w:val="0063082A"/>
    <w:rsid w:val="006542B2"/>
    <w:rsid w:val="0068261C"/>
    <w:rsid w:val="006A0B9B"/>
    <w:rsid w:val="006A32A0"/>
    <w:rsid w:val="006B00C0"/>
    <w:rsid w:val="006B192C"/>
    <w:rsid w:val="006B1BFE"/>
    <w:rsid w:val="006C0558"/>
    <w:rsid w:val="006E3F8A"/>
    <w:rsid w:val="006E47E3"/>
    <w:rsid w:val="006F0D9D"/>
    <w:rsid w:val="0070708B"/>
    <w:rsid w:val="007109AF"/>
    <w:rsid w:val="007127B6"/>
    <w:rsid w:val="00722963"/>
    <w:rsid w:val="00722B01"/>
    <w:rsid w:val="00733F32"/>
    <w:rsid w:val="007445D1"/>
    <w:rsid w:val="0074640B"/>
    <w:rsid w:val="007534C4"/>
    <w:rsid w:val="00754825"/>
    <w:rsid w:val="007562D0"/>
    <w:rsid w:val="00772F7E"/>
    <w:rsid w:val="007740EF"/>
    <w:rsid w:val="00786156"/>
    <w:rsid w:val="007A282C"/>
    <w:rsid w:val="007C1A73"/>
    <w:rsid w:val="007C6AD4"/>
    <w:rsid w:val="007D3FFF"/>
    <w:rsid w:val="007F172A"/>
    <w:rsid w:val="007F784B"/>
    <w:rsid w:val="0080174F"/>
    <w:rsid w:val="00810BE8"/>
    <w:rsid w:val="008250CE"/>
    <w:rsid w:val="00826648"/>
    <w:rsid w:val="008339ED"/>
    <w:rsid w:val="00833A6D"/>
    <w:rsid w:val="008357D2"/>
    <w:rsid w:val="00836328"/>
    <w:rsid w:val="00853CBB"/>
    <w:rsid w:val="008643E2"/>
    <w:rsid w:val="00872EF9"/>
    <w:rsid w:val="008863D8"/>
    <w:rsid w:val="008B1911"/>
    <w:rsid w:val="008B3AF6"/>
    <w:rsid w:val="008C4E28"/>
    <w:rsid w:val="008D75A3"/>
    <w:rsid w:val="008E143D"/>
    <w:rsid w:val="008E276B"/>
    <w:rsid w:val="008F04D6"/>
    <w:rsid w:val="00905D2B"/>
    <w:rsid w:val="0092584A"/>
    <w:rsid w:val="009265B7"/>
    <w:rsid w:val="00926DCA"/>
    <w:rsid w:val="00933AA4"/>
    <w:rsid w:val="0093465E"/>
    <w:rsid w:val="00935C21"/>
    <w:rsid w:val="00970B06"/>
    <w:rsid w:val="00971131"/>
    <w:rsid w:val="009738DD"/>
    <w:rsid w:val="00983EA6"/>
    <w:rsid w:val="00987B32"/>
    <w:rsid w:val="00992AE0"/>
    <w:rsid w:val="0099484D"/>
    <w:rsid w:val="0099629B"/>
    <w:rsid w:val="009A179D"/>
    <w:rsid w:val="009B6872"/>
    <w:rsid w:val="009C7F2B"/>
    <w:rsid w:val="009D5D05"/>
    <w:rsid w:val="009F7AD1"/>
    <w:rsid w:val="00A0072D"/>
    <w:rsid w:val="00A10451"/>
    <w:rsid w:val="00A16F0E"/>
    <w:rsid w:val="00A250CD"/>
    <w:rsid w:val="00A25E73"/>
    <w:rsid w:val="00A32261"/>
    <w:rsid w:val="00A456B3"/>
    <w:rsid w:val="00A45B05"/>
    <w:rsid w:val="00A52AC6"/>
    <w:rsid w:val="00A61374"/>
    <w:rsid w:val="00A659E8"/>
    <w:rsid w:val="00A82049"/>
    <w:rsid w:val="00AB00FC"/>
    <w:rsid w:val="00AB39A2"/>
    <w:rsid w:val="00AC21D0"/>
    <w:rsid w:val="00AC34D5"/>
    <w:rsid w:val="00AE1047"/>
    <w:rsid w:val="00AE1893"/>
    <w:rsid w:val="00AE49AC"/>
    <w:rsid w:val="00B01209"/>
    <w:rsid w:val="00B0503A"/>
    <w:rsid w:val="00B05FA4"/>
    <w:rsid w:val="00B332C2"/>
    <w:rsid w:val="00B53355"/>
    <w:rsid w:val="00B535A3"/>
    <w:rsid w:val="00B63C1C"/>
    <w:rsid w:val="00B65296"/>
    <w:rsid w:val="00B66E1A"/>
    <w:rsid w:val="00B81AF3"/>
    <w:rsid w:val="00B81F95"/>
    <w:rsid w:val="00B850AA"/>
    <w:rsid w:val="00B95369"/>
    <w:rsid w:val="00B96E60"/>
    <w:rsid w:val="00B97283"/>
    <w:rsid w:val="00B97723"/>
    <w:rsid w:val="00BC6F3C"/>
    <w:rsid w:val="00BD5450"/>
    <w:rsid w:val="00BD66BF"/>
    <w:rsid w:val="00BE1D76"/>
    <w:rsid w:val="00BE2DD7"/>
    <w:rsid w:val="00BF227C"/>
    <w:rsid w:val="00BF3EBF"/>
    <w:rsid w:val="00C06B43"/>
    <w:rsid w:val="00C47161"/>
    <w:rsid w:val="00C53C3A"/>
    <w:rsid w:val="00C62838"/>
    <w:rsid w:val="00C65F47"/>
    <w:rsid w:val="00C71359"/>
    <w:rsid w:val="00C74165"/>
    <w:rsid w:val="00C7596F"/>
    <w:rsid w:val="00C85DB2"/>
    <w:rsid w:val="00C90A29"/>
    <w:rsid w:val="00C935C0"/>
    <w:rsid w:val="00CA38F6"/>
    <w:rsid w:val="00CA78CB"/>
    <w:rsid w:val="00CB5E01"/>
    <w:rsid w:val="00CB718A"/>
    <w:rsid w:val="00CC7233"/>
    <w:rsid w:val="00CD2C32"/>
    <w:rsid w:val="00CE39BA"/>
    <w:rsid w:val="00CE3C45"/>
    <w:rsid w:val="00CF7253"/>
    <w:rsid w:val="00D1097E"/>
    <w:rsid w:val="00D12893"/>
    <w:rsid w:val="00D26FFE"/>
    <w:rsid w:val="00D32033"/>
    <w:rsid w:val="00D36B6B"/>
    <w:rsid w:val="00D46EC2"/>
    <w:rsid w:val="00D6269E"/>
    <w:rsid w:val="00D70FEB"/>
    <w:rsid w:val="00D8097E"/>
    <w:rsid w:val="00D83A34"/>
    <w:rsid w:val="00D85B48"/>
    <w:rsid w:val="00D94CD4"/>
    <w:rsid w:val="00D97E0F"/>
    <w:rsid w:val="00DA1DC1"/>
    <w:rsid w:val="00DB394E"/>
    <w:rsid w:val="00DB5D4B"/>
    <w:rsid w:val="00DB6719"/>
    <w:rsid w:val="00DD1D93"/>
    <w:rsid w:val="00DD4370"/>
    <w:rsid w:val="00DE3E32"/>
    <w:rsid w:val="00DF76DC"/>
    <w:rsid w:val="00E01C16"/>
    <w:rsid w:val="00E02622"/>
    <w:rsid w:val="00E044A0"/>
    <w:rsid w:val="00E10689"/>
    <w:rsid w:val="00E13211"/>
    <w:rsid w:val="00E22AAF"/>
    <w:rsid w:val="00E2606C"/>
    <w:rsid w:val="00E32441"/>
    <w:rsid w:val="00E32608"/>
    <w:rsid w:val="00E329A9"/>
    <w:rsid w:val="00E3331D"/>
    <w:rsid w:val="00E82C82"/>
    <w:rsid w:val="00E964C5"/>
    <w:rsid w:val="00EB0A34"/>
    <w:rsid w:val="00EB0D2F"/>
    <w:rsid w:val="00EB7BCF"/>
    <w:rsid w:val="00EC1561"/>
    <w:rsid w:val="00EC6632"/>
    <w:rsid w:val="00ED15C1"/>
    <w:rsid w:val="00ED6BDE"/>
    <w:rsid w:val="00EE2266"/>
    <w:rsid w:val="00EE702A"/>
    <w:rsid w:val="00EF5C2D"/>
    <w:rsid w:val="00F05133"/>
    <w:rsid w:val="00F12891"/>
    <w:rsid w:val="00F174EF"/>
    <w:rsid w:val="00F2582A"/>
    <w:rsid w:val="00F273BA"/>
    <w:rsid w:val="00F35E40"/>
    <w:rsid w:val="00F360FC"/>
    <w:rsid w:val="00F37BE7"/>
    <w:rsid w:val="00F52872"/>
    <w:rsid w:val="00F5378A"/>
    <w:rsid w:val="00F757FC"/>
    <w:rsid w:val="00F82DE8"/>
    <w:rsid w:val="00F84540"/>
    <w:rsid w:val="00F93650"/>
    <w:rsid w:val="00FA7422"/>
    <w:rsid w:val="00FB0095"/>
    <w:rsid w:val="00FB1392"/>
    <w:rsid w:val="00FB68A8"/>
    <w:rsid w:val="00FE4FB9"/>
    <w:rsid w:val="00FF4F2D"/>
    <w:rsid w:val="00FF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D2612E-F54B-4C97-834B-1DF58183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2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23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23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4iawc">
    <w:name w:val="q4iawc"/>
    <w:basedOn w:val="DefaultParagraphFont"/>
    <w:rsid w:val="00CA78CB"/>
  </w:style>
  <w:style w:type="character" w:customStyle="1" w:styleId="display-block">
    <w:name w:val="display-block"/>
    <w:basedOn w:val="DefaultParagraphFont"/>
    <w:rsid w:val="00CA78CB"/>
  </w:style>
  <w:style w:type="paragraph" w:styleId="ListParagraph">
    <w:name w:val="List Paragraph"/>
    <w:basedOn w:val="Normal"/>
    <w:uiPriority w:val="34"/>
    <w:qFormat/>
    <w:rsid w:val="00CA78CB"/>
    <w:pPr>
      <w:ind w:left="720"/>
      <w:contextualSpacing/>
    </w:pPr>
  </w:style>
  <w:style w:type="paragraph" w:styleId="Header">
    <w:name w:val="header"/>
    <w:basedOn w:val="Normal"/>
    <w:link w:val="HeaderChar"/>
    <w:uiPriority w:val="99"/>
    <w:unhideWhenUsed/>
    <w:rsid w:val="008B3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AF6"/>
  </w:style>
  <w:style w:type="paragraph" w:styleId="Footer">
    <w:name w:val="footer"/>
    <w:basedOn w:val="Normal"/>
    <w:link w:val="FooterChar"/>
    <w:uiPriority w:val="99"/>
    <w:unhideWhenUsed/>
    <w:rsid w:val="008B3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AF6"/>
  </w:style>
  <w:style w:type="paragraph" w:styleId="BalloonText">
    <w:name w:val="Balloon Text"/>
    <w:basedOn w:val="Normal"/>
    <w:link w:val="BalloonTextChar"/>
    <w:uiPriority w:val="99"/>
    <w:semiHidden/>
    <w:unhideWhenUsed/>
    <w:rsid w:val="004D7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FFB"/>
    <w:rPr>
      <w:rFonts w:ascii="Tahoma" w:hAnsi="Tahoma" w:cs="Tahoma"/>
      <w:sz w:val="16"/>
      <w:szCs w:val="16"/>
    </w:rPr>
  </w:style>
  <w:style w:type="character" w:styleId="Hyperlink">
    <w:name w:val="Hyperlink"/>
    <w:basedOn w:val="DefaultParagraphFont"/>
    <w:uiPriority w:val="99"/>
    <w:unhideWhenUsed/>
    <w:rsid w:val="004D7FFB"/>
    <w:rPr>
      <w:color w:val="0000FF"/>
      <w:u w:val="single"/>
    </w:rPr>
  </w:style>
  <w:style w:type="table" w:customStyle="1" w:styleId="TableGrid3">
    <w:name w:val="Table Grid3"/>
    <w:basedOn w:val="TableNormal"/>
    <w:next w:val="TableGrid"/>
    <w:uiPriority w:val="59"/>
    <w:rsid w:val="00241A19"/>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41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F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2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23F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23F1"/>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3F23F1"/>
  </w:style>
  <w:style w:type="paragraph" w:styleId="NormalWeb">
    <w:name w:val="Normal (Web)"/>
    <w:basedOn w:val="Normal"/>
    <w:uiPriority w:val="99"/>
    <w:unhideWhenUsed/>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3F23F1"/>
    <w:pPr>
      <w:spacing w:after="0" w:line="240" w:lineRule="auto"/>
    </w:pPr>
    <w:rPr>
      <w:rFonts w:eastAsiaTheme="minorEastAsia"/>
      <w:sz w:val="20"/>
      <w:szCs w:val="20"/>
      <w:lang w:val="ro-RO" w:eastAsia="ro-RO"/>
    </w:rPr>
  </w:style>
  <w:style w:type="character" w:customStyle="1" w:styleId="FootnoteTextChar">
    <w:name w:val="Footnote Text Char"/>
    <w:basedOn w:val="DefaultParagraphFont"/>
    <w:link w:val="FootnoteText"/>
    <w:uiPriority w:val="99"/>
    <w:rsid w:val="003F23F1"/>
    <w:rPr>
      <w:rFonts w:eastAsiaTheme="minorEastAsia"/>
      <w:sz w:val="20"/>
      <w:szCs w:val="20"/>
      <w:lang w:val="ro-RO" w:eastAsia="ro-RO"/>
    </w:rPr>
  </w:style>
  <w:style w:type="character" w:styleId="FootnoteReference">
    <w:name w:val="footnote reference"/>
    <w:basedOn w:val="DefaultParagraphFont"/>
    <w:uiPriority w:val="99"/>
    <w:semiHidden/>
    <w:unhideWhenUsed/>
    <w:rsid w:val="003F23F1"/>
    <w:rPr>
      <w:vertAlign w:val="superscript"/>
    </w:rPr>
  </w:style>
  <w:style w:type="table" w:customStyle="1" w:styleId="TableGrid2">
    <w:name w:val="Table Grid2"/>
    <w:basedOn w:val="TableNormal"/>
    <w:next w:val="TableGrid"/>
    <w:uiPriority w:val="59"/>
    <w:rsid w:val="003F2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tamp">
    <w:name w:val="timestamp"/>
    <w:basedOn w:val="DefaultParagraphFont"/>
    <w:rsid w:val="003F23F1"/>
  </w:style>
  <w:style w:type="character" w:styleId="Strong">
    <w:name w:val="Strong"/>
    <w:basedOn w:val="DefaultParagraphFont"/>
    <w:uiPriority w:val="22"/>
    <w:qFormat/>
    <w:rsid w:val="003F23F1"/>
    <w:rPr>
      <w:b/>
      <w:bCs/>
    </w:rPr>
  </w:style>
  <w:style w:type="character" w:customStyle="1" w:styleId="article-headerpublish-datelabel">
    <w:name w:val="article-header__publish-date__label"/>
    <w:basedOn w:val="DefaultParagraphFont"/>
    <w:rsid w:val="003F23F1"/>
  </w:style>
  <w:style w:type="character" w:customStyle="1" w:styleId="article-headerpublish-datevalue">
    <w:name w:val="article-header__publish-date__value"/>
    <w:basedOn w:val="DefaultParagraphFont"/>
    <w:rsid w:val="003F23F1"/>
  </w:style>
  <w:style w:type="character" w:customStyle="1" w:styleId="article-headerpages">
    <w:name w:val="article-header__pages"/>
    <w:basedOn w:val="DefaultParagraphFont"/>
    <w:rsid w:val="003F23F1"/>
  </w:style>
  <w:style w:type="character" w:customStyle="1" w:styleId="article-headerdate">
    <w:name w:val="article-header__date"/>
    <w:basedOn w:val="DefaultParagraphFont"/>
    <w:rsid w:val="003F23F1"/>
  </w:style>
  <w:style w:type="character" w:customStyle="1" w:styleId="toptext">
    <w:name w:val="top__text"/>
    <w:basedOn w:val="DefaultParagraphFont"/>
    <w:rsid w:val="003F23F1"/>
  </w:style>
  <w:style w:type="character" w:customStyle="1" w:styleId="tlid-translation">
    <w:name w:val="tlid-translation"/>
    <w:basedOn w:val="DefaultParagraphFont"/>
    <w:rsid w:val="003F23F1"/>
  </w:style>
  <w:style w:type="character" w:customStyle="1" w:styleId="article-headerdoi">
    <w:name w:val="article-header__doi"/>
    <w:basedOn w:val="DefaultParagraphFont"/>
    <w:rsid w:val="003F23F1"/>
  </w:style>
  <w:style w:type="character" w:customStyle="1" w:styleId="article-headerdoilabel">
    <w:name w:val="article-header__doi__label"/>
    <w:basedOn w:val="DefaultParagraphFont"/>
    <w:rsid w:val="003F23F1"/>
  </w:style>
  <w:style w:type="character" w:customStyle="1" w:styleId="article-headerjournal">
    <w:name w:val="article-header__journal"/>
    <w:basedOn w:val="DefaultParagraphFont"/>
    <w:rsid w:val="003F23F1"/>
  </w:style>
  <w:style w:type="character" w:customStyle="1" w:styleId="article-headerseries">
    <w:name w:val="article-header__series"/>
    <w:basedOn w:val="DefaultParagraphFont"/>
    <w:rsid w:val="003F23F1"/>
  </w:style>
  <w:style w:type="character" w:customStyle="1" w:styleId="topsub">
    <w:name w:val="top__sub"/>
    <w:basedOn w:val="DefaultParagraphFont"/>
    <w:rsid w:val="003F23F1"/>
  </w:style>
  <w:style w:type="character" w:customStyle="1" w:styleId="inline-tablelabel">
    <w:name w:val="inline-table__label"/>
    <w:basedOn w:val="DefaultParagraphFont"/>
    <w:rsid w:val="003F23F1"/>
  </w:style>
  <w:style w:type="character" w:customStyle="1" w:styleId="label">
    <w:name w:val="label"/>
    <w:basedOn w:val="DefaultParagraphFont"/>
    <w:rsid w:val="003F23F1"/>
  </w:style>
  <w:style w:type="character" w:styleId="Emphasis">
    <w:name w:val="Emphasis"/>
    <w:basedOn w:val="DefaultParagraphFont"/>
    <w:uiPriority w:val="20"/>
    <w:qFormat/>
    <w:rsid w:val="003F23F1"/>
    <w:rPr>
      <w:i/>
      <w:iCs/>
    </w:rPr>
  </w:style>
  <w:style w:type="paragraph" w:customStyle="1" w:styleId="text-boxcontent">
    <w:name w:val="text-box__content"/>
    <w:basedOn w:val="Normal"/>
    <w:uiPriority w:val="99"/>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s">
    <w:name w:val="footnotes"/>
    <w:basedOn w:val="DefaultParagraphFont"/>
    <w:rsid w:val="003F23F1"/>
  </w:style>
  <w:style w:type="character" w:customStyle="1" w:styleId="date-display-single">
    <w:name w:val="date-display-single"/>
    <w:basedOn w:val="DefaultParagraphFont"/>
    <w:rsid w:val="003F23F1"/>
  </w:style>
  <w:style w:type="paragraph" w:customStyle="1" w:styleId="notes">
    <w:name w:val="notes"/>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23F1"/>
    <w:rPr>
      <w:color w:val="800080"/>
      <w:u w:val="single"/>
    </w:rPr>
  </w:style>
  <w:style w:type="table" w:customStyle="1" w:styleId="TableGrid4">
    <w:name w:val="Table Grid4"/>
    <w:basedOn w:val="TableNormal"/>
    <w:next w:val="TableGrid"/>
    <w:uiPriority w:val="59"/>
    <w:rsid w:val="003F23F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rsid w:val="003F23F1"/>
  </w:style>
  <w:style w:type="character" w:customStyle="1" w:styleId="authorscontact">
    <w:name w:val="authors__contact"/>
    <w:basedOn w:val="DefaultParagraphFont"/>
    <w:rsid w:val="003F23F1"/>
  </w:style>
  <w:style w:type="character" w:customStyle="1" w:styleId="authors-affiliationsname">
    <w:name w:val="authors-affiliations__name"/>
    <w:basedOn w:val="DefaultParagraphFont"/>
    <w:rsid w:val="003F23F1"/>
  </w:style>
  <w:style w:type="character" w:customStyle="1" w:styleId="author-informationcontact">
    <w:name w:val="author-information__contact"/>
    <w:basedOn w:val="DefaultParagraphFont"/>
    <w:rsid w:val="003F23F1"/>
  </w:style>
  <w:style w:type="character" w:customStyle="1" w:styleId="affiliationcount">
    <w:name w:val="affiliation__count"/>
    <w:basedOn w:val="DefaultParagraphFont"/>
    <w:rsid w:val="003F23F1"/>
  </w:style>
  <w:style w:type="character" w:customStyle="1" w:styleId="affiliationdepartment">
    <w:name w:val="affiliation__department"/>
    <w:basedOn w:val="DefaultParagraphFont"/>
    <w:rsid w:val="003F23F1"/>
  </w:style>
  <w:style w:type="character" w:customStyle="1" w:styleId="affiliationname">
    <w:name w:val="affiliation__name"/>
    <w:basedOn w:val="DefaultParagraphFont"/>
    <w:rsid w:val="003F23F1"/>
  </w:style>
  <w:style w:type="character" w:customStyle="1" w:styleId="affiliationcity">
    <w:name w:val="affiliation__city"/>
    <w:basedOn w:val="DefaultParagraphFont"/>
    <w:rsid w:val="003F23F1"/>
  </w:style>
  <w:style w:type="character" w:customStyle="1" w:styleId="affiliationcountry">
    <w:name w:val="affiliation__country"/>
    <w:basedOn w:val="DefaultParagraphFont"/>
    <w:rsid w:val="003F23F1"/>
  </w:style>
  <w:style w:type="character" w:customStyle="1" w:styleId="test-render-category">
    <w:name w:val="test-render-category"/>
    <w:basedOn w:val="DefaultParagraphFont"/>
    <w:rsid w:val="003F23F1"/>
  </w:style>
  <w:style w:type="character" w:customStyle="1" w:styleId="article-dateslabel">
    <w:name w:val="article-dates__label"/>
    <w:basedOn w:val="DefaultParagraphFont"/>
    <w:rsid w:val="003F23F1"/>
  </w:style>
  <w:style w:type="character" w:customStyle="1" w:styleId="article-datesfirst-online">
    <w:name w:val="article-dates__first-online"/>
    <w:basedOn w:val="DefaultParagraphFont"/>
    <w:rsid w:val="003F23F1"/>
  </w:style>
  <w:style w:type="paragraph" w:customStyle="1" w:styleId="test-locationinconferenceproceeding">
    <w:name w:val="test-locationinconferenceproceeding"/>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
    <w:name w:val="booktitle"/>
    <w:basedOn w:val="DefaultParagraphFont"/>
    <w:rsid w:val="003F23F1"/>
  </w:style>
  <w:style w:type="character" w:customStyle="1" w:styleId="page-numbers-info">
    <w:name w:val="page-numbers-info"/>
    <w:basedOn w:val="DefaultParagraphFont"/>
    <w:rsid w:val="003F23F1"/>
  </w:style>
  <w:style w:type="character" w:customStyle="1" w:styleId="u-inline-block">
    <w:name w:val="u-inline-block"/>
    <w:basedOn w:val="DefaultParagraphFont"/>
    <w:rsid w:val="003F23F1"/>
  </w:style>
  <w:style w:type="character" w:customStyle="1" w:styleId="cit">
    <w:name w:val="cit"/>
    <w:basedOn w:val="DefaultParagraphFont"/>
    <w:rsid w:val="003F23F1"/>
  </w:style>
  <w:style w:type="character" w:customStyle="1" w:styleId="citation-doi">
    <w:name w:val="citation-doi"/>
    <w:basedOn w:val="DefaultParagraphFont"/>
    <w:rsid w:val="003F23F1"/>
  </w:style>
  <w:style w:type="character" w:customStyle="1" w:styleId="authors-list-item">
    <w:name w:val="authors-list-item"/>
    <w:basedOn w:val="DefaultParagraphFont"/>
    <w:rsid w:val="003F23F1"/>
  </w:style>
  <w:style w:type="character" w:customStyle="1" w:styleId="author-sup-separator">
    <w:name w:val="author-sup-separator"/>
    <w:basedOn w:val="DefaultParagraphFont"/>
    <w:rsid w:val="003F23F1"/>
  </w:style>
  <w:style w:type="character" w:customStyle="1" w:styleId="comma">
    <w:name w:val="comma"/>
    <w:basedOn w:val="DefaultParagraphFont"/>
    <w:rsid w:val="003F23F1"/>
  </w:style>
  <w:style w:type="character" w:customStyle="1" w:styleId="identifier">
    <w:name w:val="identifier"/>
    <w:basedOn w:val="DefaultParagraphFont"/>
    <w:rsid w:val="003F23F1"/>
  </w:style>
  <w:style w:type="character" w:customStyle="1" w:styleId="id-label">
    <w:name w:val="id-label"/>
    <w:basedOn w:val="DefaultParagraphFont"/>
    <w:rsid w:val="003F23F1"/>
  </w:style>
  <w:style w:type="character" w:customStyle="1" w:styleId="free-label">
    <w:name w:val="free-label"/>
    <w:basedOn w:val="DefaultParagraphFont"/>
    <w:rsid w:val="003F23F1"/>
  </w:style>
  <w:style w:type="character" w:customStyle="1" w:styleId="note">
    <w:name w:val="note"/>
    <w:basedOn w:val="DefaultParagraphFont"/>
    <w:rsid w:val="003F23F1"/>
  </w:style>
  <w:style w:type="paragraph" w:customStyle="1" w:styleId="p2">
    <w:name w:val="p2"/>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rsid w:val="003F23F1"/>
  </w:style>
  <w:style w:type="paragraph" w:customStyle="1" w:styleId="c-article-metrics-barcount">
    <w:name w:val="c-article-metrics-bar__count"/>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3F23F1"/>
  </w:style>
  <w:style w:type="paragraph" w:customStyle="1" w:styleId="c-article-metrics-bardetails">
    <w:name w:val="c-article-metrics-bar__details"/>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3F23F1"/>
  </w:style>
  <w:style w:type="character" w:customStyle="1" w:styleId="bold">
    <w:name w:val="bold"/>
    <w:basedOn w:val="DefaultParagraphFont"/>
    <w:rsid w:val="003F23F1"/>
  </w:style>
  <w:style w:type="character" w:customStyle="1" w:styleId="jlqj4b">
    <w:name w:val="jlqj4b"/>
    <w:basedOn w:val="DefaultParagraphFont"/>
    <w:rsid w:val="003F23F1"/>
  </w:style>
  <w:style w:type="character" w:customStyle="1" w:styleId="viiyi">
    <w:name w:val="viiyi"/>
    <w:basedOn w:val="DefaultParagraphFont"/>
    <w:rsid w:val="003F23F1"/>
  </w:style>
  <w:style w:type="character" w:customStyle="1" w:styleId="UnresolvedMention">
    <w:name w:val="Unresolved Mention"/>
    <w:basedOn w:val="DefaultParagraphFont"/>
    <w:uiPriority w:val="99"/>
    <w:semiHidden/>
    <w:unhideWhenUsed/>
    <w:rsid w:val="003F23F1"/>
    <w:rPr>
      <w:color w:val="605E5C"/>
      <w:shd w:val="clear" w:color="auto" w:fill="E1DFDD"/>
    </w:rPr>
  </w:style>
  <w:style w:type="paragraph" w:styleId="BodyText">
    <w:name w:val="Body Text"/>
    <w:basedOn w:val="Normal"/>
    <w:link w:val="BodyTextChar"/>
    <w:rsid w:val="003F23F1"/>
    <w:pPr>
      <w:spacing w:after="120" w:line="360" w:lineRule="auto"/>
    </w:pPr>
    <w:rPr>
      <w:rFonts w:ascii="Calibri" w:eastAsia="Times New Roman" w:hAnsi="Calibri" w:cs="Times New Roman"/>
      <w:sz w:val="21"/>
      <w:szCs w:val="21"/>
      <w:lang w:val="ro-RO" w:eastAsia="ro-RO"/>
    </w:rPr>
  </w:style>
  <w:style w:type="character" w:customStyle="1" w:styleId="BodyTextChar">
    <w:name w:val="Body Text Char"/>
    <w:basedOn w:val="DefaultParagraphFont"/>
    <w:link w:val="BodyText"/>
    <w:rsid w:val="003F23F1"/>
    <w:rPr>
      <w:rFonts w:ascii="Calibri" w:eastAsia="Times New Roman" w:hAnsi="Calibri" w:cs="Times New Roman"/>
      <w:sz w:val="21"/>
      <w:szCs w:val="21"/>
      <w:lang w:val="ro-RO" w:eastAsia="ro-RO"/>
    </w:rPr>
  </w:style>
  <w:style w:type="character" w:customStyle="1" w:styleId="markedcontent">
    <w:name w:val="markedcontent"/>
    <w:basedOn w:val="DefaultParagraphFont"/>
    <w:rsid w:val="003F23F1"/>
  </w:style>
  <w:style w:type="character" w:customStyle="1" w:styleId="minutes">
    <w:name w:val="minutes"/>
    <w:basedOn w:val="DefaultParagraphFont"/>
    <w:rsid w:val="003F23F1"/>
  </w:style>
  <w:style w:type="character" w:customStyle="1" w:styleId="wordcount">
    <w:name w:val="wordcount"/>
    <w:basedOn w:val="DefaultParagraphFont"/>
    <w:rsid w:val="003F23F1"/>
  </w:style>
  <w:style w:type="character" w:customStyle="1" w:styleId="factbuffetfigure">
    <w:name w:val="factbuffet_figure"/>
    <w:basedOn w:val="DefaultParagraphFont"/>
    <w:rsid w:val="003F23F1"/>
  </w:style>
  <w:style w:type="character" w:customStyle="1" w:styleId="ctmetavalue">
    <w:name w:val="ct__meta__value"/>
    <w:basedOn w:val="DefaultParagraphFont"/>
    <w:rsid w:val="003F23F1"/>
  </w:style>
  <w:style w:type="character" w:customStyle="1" w:styleId="ctmetalabel">
    <w:name w:val="ct__meta__label"/>
    <w:basedOn w:val="DefaultParagraphFont"/>
    <w:rsid w:val="003F23F1"/>
  </w:style>
  <w:style w:type="character" w:customStyle="1" w:styleId="sr-only">
    <w:name w:val="sr-only"/>
    <w:basedOn w:val="DefaultParagraphFont"/>
    <w:rsid w:val="003F23F1"/>
  </w:style>
  <w:style w:type="paragraph" w:customStyle="1" w:styleId="ctpage-description">
    <w:name w:val="ct__page-description"/>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Calendar1">
    <w:name w:val="Calendar 1"/>
    <w:basedOn w:val="TableNormal"/>
    <w:uiPriority w:val="99"/>
    <w:qFormat/>
    <w:rsid w:val="003F23F1"/>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Spacing">
    <w:name w:val="No Spacing"/>
    <w:link w:val="NoSpacingChar"/>
    <w:uiPriority w:val="1"/>
    <w:qFormat/>
    <w:rsid w:val="003F23F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F23F1"/>
    <w:rPr>
      <w:rFonts w:eastAsiaTheme="minorEastAsia"/>
      <w:lang w:eastAsia="ja-JP"/>
    </w:rPr>
  </w:style>
  <w:style w:type="character" w:styleId="PlaceholderText">
    <w:name w:val="Placeholder Text"/>
    <w:basedOn w:val="DefaultParagraphFont"/>
    <w:uiPriority w:val="99"/>
    <w:semiHidden/>
    <w:rsid w:val="003F23F1"/>
    <w:rPr>
      <w:color w:val="808080"/>
    </w:rPr>
  </w:style>
  <w:style w:type="character" w:customStyle="1" w:styleId="sden">
    <w:name w:val="s_den"/>
    <w:basedOn w:val="DefaultParagraphFont"/>
    <w:rsid w:val="003F23F1"/>
  </w:style>
  <w:style w:type="character" w:customStyle="1" w:styleId="shdr">
    <w:name w:val="s_hdr"/>
    <w:basedOn w:val="DefaultParagraphFont"/>
    <w:rsid w:val="003F23F1"/>
  </w:style>
  <w:style w:type="character" w:customStyle="1" w:styleId="semtttl">
    <w:name w:val="s_emt_ttl"/>
    <w:basedOn w:val="DefaultParagraphFont"/>
    <w:rsid w:val="003F23F1"/>
  </w:style>
  <w:style w:type="character" w:customStyle="1" w:styleId="semtbdy">
    <w:name w:val="s_emt_bdy"/>
    <w:basedOn w:val="DefaultParagraphFont"/>
    <w:rsid w:val="003F23F1"/>
  </w:style>
  <w:style w:type="character" w:customStyle="1" w:styleId="spubttl">
    <w:name w:val="s_pub_ttl"/>
    <w:basedOn w:val="DefaultParagraphFont"/>
    <w:rsid w:val="003F23F1"/>
  </w:style>
  <w:style w:type="character" w:customStyle="1" w:styleId="spubbdy">
    <w:name w:val="s_pub_bdy"/>
    <w:basedOn w:val="DefaultParagraphFont"/>
    <w:rsid w:val="003F23F1"/>
  </w:style>
  <w:style w:type="character" w:customStyle="1" w:styleId="sntattl">
    <w:name w:val="s_nta_ttl"/>
    <w:basedOn w:val="DefaultParagraphFont"/>
    <w:rsid w:val="003F23F1"/>
  </w:style>
  <w:style w:type="character" w:customStyle="1" w:styleId="sntapar">
    <w:name w:val="s_nta_par"/>
    <w:basedOn w:val="DefaultParagraphFont"/>
    <w:rsid w:val="003F23F1"/>
  </w:style>
  <w:style w:type="character" w:customStyle="1" w:styleId="spar">
    <w:name w:val="s_par"/>
    <w:basedOn w:val="DefaultParagraphFont"/>
    <w:rsid w:val="003F23F1"/>
  </w:style>
  <w:style w:type="character" w:customStyle="1" w:styleId="sartttl">
    <w:name w:val="s_art_ttl"/>
    <w:basedOn w:val="DefaultParagraphFont"/>
    <w:rsid w:val="003F23F1"/>
  </w:style>
  <w:style w:type="character" w:customStyle="1" w:styleId="spct">
    <w:name w:val="s_pct"/>
    <w:basedOn w:val="DefaultParagraphFont"/>
    <w:rsid w:val="003F23F1"/>
  </w:style>
  <w:style w:type="character" w:customStyle="1" w:styleId="spctttl">
    <w:name w:val="s_pct_ttl"/>
    <w:basedOn w:val="DefaultParagraphFont"/>
    <w:rsid w:val="003F23F1"/>
  </w:style>
  <w:style w:type="character" w:customStyle="1" w:styleId="spctbdy">
    <w:name w:val="s_pct_bdy"/>
    <w:basedOn w:val="DefaultParagraphFont"/>
    <w:rsid w:val="003F23F1"/>
  </w:style>
  <w:style w:type="character" w:customStyle="1" w:styleId="slit">
    <w:name w:val="s_lit"/>
    <w:basedOn w:val="DefaultParagraphFont"/>
    <w:rsid w:val="003F23F1"/>
  </w:style>
  <w:style w:type="character" w:customStyle="1" w:styleId="slitttl">
    <w:name w:val="s_lit_ttl"/>
    <w:basedOn w:val="DefaultParagraphFont"/>
    <w:rsid w:val="003F23F1"/>
  </w:style>
  <w:style w:type="character" w:customStyle="1" w:styleId="slitbdy">
    <w:name w:val="s_lit_bdy"/>
    <w:basedOn w:val="DefaultParagraphFont"/>
    <w:rsid w:val="003F23F1"/>
  </w:style>
  <w:style w:type="character" w:customStyle="1" w:styleId="rynqvb">
    <w:name w:val="rynqvb"/>
    <w:basedOn w:val="DefaultParagraphFont"/>
    <w:rsid w:val="003F23F1"/>
  </w:style>
  <w:style w:type="character" w:customStyle="1" w:styleId="hwtze">
    <w:name w:val="hwtze"/>
    <w:basedOn w:val="DefaultParagraphFont"/>
    <w:rsid w:val="003F23F1"/>
  </w:style>
  <w:style w:type="table" w:customStyle="1" w:styleId="TableGrid5">
    <w:name w:val="Table Grid5"/>
    <w:basedOn w:val="TableNormal"/>
    <w:next w:val="TableGrid"/>
    <w:uiPriority w:val="59"/>
    <w:rsid w:val="00D10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4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468878">
      <w:bodyDiv w:val="1"/>
      <w:marLeft w:val="0"/>
      <w:marRight w:val="0"/>
      <w:marTop w:val="0"/>
      <w:marBottom w:val="0"/>
      <w:divBdr>
        <w:top w:val="none" w:sz="0" w:space="0" w:color="auto"/>
        <w:left w:val="none" w:sz="0" w:space="0" w:color="auto"/>
        <w:bottom w:val="none" w:sz="0" w:space="0" w:color="auto"/>
        <w:right w:val="none" w:sz="0" w:space="0" w:color="auto"/>
      </w:divBdr>
    </w:div>
    <w:div w:id="626594474">
      <w:bodyDiv w:val="1"/>
      <w:marLeft w:val="0"/>
      <w:marRight w:val="0"/>
      <w:marTop w:val="0"/>
      <w:marBottom w:val="0"/>
      <w:divBdr>
        <w:top w:val="none" w:sz="0" w:space="0" w:color="auto"/>
        <w:left w:val="none" w:sz="0" w:space="0" w:color="auto"/>
        <w:bottom w:val="none" w:sz="0" w:space="0" w:color="auto"/>
        <w:right w:val="none" w:sz="0" w:space="0" w:color="auto"/>
      </w:divBdr>
    </w:div>
    <w:div w:id="780996884">
      <w:bodyDiv w:val="1"/>
      <w:marLeft w:val="0"/>
      <w:marRight w:val="0"/>
      <w:marTop w:val="0"/>
      <w:marBottom w:val="0"/>
      <w:divBdr>
        <w:top w:val="none" w:sz="0" w:space="0" w:color="auto"/>
        <w:left w:val="none" w:sz="0" w:space="0" w:color="auto"/>
        <w:bottom w:val="none" w:sz="0" w:space="0" w:color="auto"/>
        <w:right w:val="none" w:sz="0" w:space="0" w:color="auto"/>
      </w:divBdr>
    </w:div>
    <w:div w:id="1456295476">
      <w:bodyDiv w:val="1"/>
      <w:marLeft w:val="0"/>
      <w:marRight w:val="0"/>
      <w:marTop w:val="0"/>
      <w:marBottom w:val="0"/>
      <w:divBdr>
        <w:top w:val="none" w:sz="0" w:space="0" w:color="auto"/>
        <w:left w:val="none" w:sz="0" w:space="0" w:color="auto"/>
        <w:bottom w:val="none" w:sz="0" w:space="0" w:color="auto"/>
        <w:right w:val="none" w:sz="0" w:space="0" w:color="auto"/>
      </w:divBdr>
    </w:div>
    <w:div w:id="1590044105">
      <w:bodyDiv w:val="1"/>
      <w:marLeft w:val="0"/>
      <w:marRight w:val="0"/>
      <w:marTop w:val="0"/>
      <w:marBottom w:val="0"/>
      <w:divBdr>
        <w:top w:val="none" w:sz="0" w:space="0" w:color="auto"/>
        <w:left w:val="none" w:sz="0" w:space="0" w:color="auto"/>
        <w:bottom w:val="none" w:sz="0" w:space="0" w:color="auto"/>
        <w:right w:val="none" w:sz="0" w:space="0" w:color="auto"/>
      </w:divBdr>
      <w:divsChild>
        <w:div w:id="522940523">
          <w:marLeft w:val="0"/>
          <w:marRight w:val="0"/>
          <w:marTop w:val="0"/>
          <w:marBottom w:val="0"/>
          <w:divBdr>
            <w:top w:val="none" w:sz="0" w:space="0" w:color="auto"/>
            <w:left w:val="none" w:sz="0" w:space="0" w:color="auto"/>
            <w:bottom w:val="none" w:sz="0" w:space="0" w:color="auto"/>
            <w:right w:val="none" w:sz="0" w:space="0" w:color="auto"/>
          </w:divBdr>
        </w:div>
      </w:divsChild>
    </w:div>
    <w:div w:id="180322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atistici.insse.ro:8077/tempo-online/" TargetMode="External"/><Relationship Id="rId21" Type="http://schemas.openxmlformats.org/officeDocument/2006/relationships/hyperlink" Target="https://umbalk.org/wp-content/uploads/2021/09/08.THE-EVOLUTION-OF-MATERNAL-MORTALITY-IN-ROMANIA.pdf" TargetMode="External"/><Relationship Id="rId42" Type="http://schemas.openxmlformats.org/officeDocument/2006/relationships/hyperlink" Target="https://insp.gov.ro/download/cnsisp/Fisiere-de-pe-site-CNSISP/mortalitatea_materna/Mortalitatea-materna-in-Romania-2021.pdf" TargetMode="External"/><Relationship Id="rId47" Type="http://schemas.openxmlformats.org/officeDocument/2006/relationships/chart" Target="charts/chart19.xml"/><Relationship Id="rId63" Type="http://schemas.openxmlformats.org/officeDocument/2006/relationships/hyperlink" Target="http://www.cnlas.ro/images/doc/31122020_rom.pdf" TargetMode="External"/><Relationship Id="rId68" Type="http://schemas.openxmlformats.org/officeDocument/2006/relationships/chart" Target="charts/chart28.xml"/><Relationship Id="rId84" Type="http://schemas.openxmlformats.org/officeDocument/2006/relationships/image" Target="media/image11.png"/><Relationship Id="rId16" Type="http://schemas.openxmlformats.org/officeDocument/2006/relationships/chart" Target="charts/chart5.xml"/><Relationship Id="rId11" Type="http://schemas.openxmlformats.org/officeDocument/2006/relationships/hyperlink" Target="https://ec.europa.eu/eurostat/databrowser/view/tps00204/default/table?lang=en" TargetMode="External"/><Relationship Id="rId32" Type="http://schemas.openxmlformats.org/officeDocument/2006/relationships/hyperlink" Target="http://statistici.insse.ro:8077/tempo-online/" TargetMode="External"/><Relationship Id="rId37" Type="http://schemas.openxmlformats.org/officeDocument/2006/relationships/chart" Target="charts/chart14.xml"/><Relationship Id="rId53" Type="http://schemas.openxmlformats.org/officeDocument/2006/relationships/hyperlink" Target="https://insp.gov.ro/download/cnsisp/Fisiere-de-pe-site-CNSISP/mortalitatea_perinatala/Mortalitatea-perinatala-2020.pdf" TargetMode="External"/><Relationship Id="rId58" Type="http://schemas.openxmlformats.org/officeDocument/2006/relationships/hyperlink" Target="https://www.ecdc.europa.eu/sites/default/files/documents/2021-Annual_HIV_Report_0.pdf" TargetMode="External"/><Relationship Id="rId74" Type="http://schemas.openxmlformats.org/officeDocument/2006/relationships/image" Target="media/image1.png"/><Relationship Id="rId79" Type="http://schemas.openxmlformats.org/officeDocument/2006/relationships/image" Target="media/image6.png"/><Relationship Id="rId5" Type="http://schemas.openxmlformats.org/officeDocument/2006/relationships/webSettings" Target="webSettings.xml"/><Relationship Id="rId19" Type="http://schemas.openxmlformats.org/officeDocument/2006/relationships/hyperlink" Target="https://www.who.int/data/gho/data/themes/maternal-and-reproductive-health/maternal-mortality-country-profiles" TargetMode="External"/><Relationship Id="rId14" Type="http://schemas.openxmlformats.org/officeDocument/2006/relationships/hyperlink" Target="https://ec.europa.eu/eurostat/databrowser/view/DEMO_FASEC__custom_1322514/default/table?lang=en" TargetMode="External"/><Relationship Id="rId22" Type="http://schemas.openxmlformats.org/officeDocument/2006/relationships/chart" Target="charts/chart8.xml"/><Relationship Id="rId27" Type="http://schemas.openxmlformats.org/officeDocument/2006/relationships/hyperlink" Target="http://statistici.insse.ro:8077/tempo-online/" TargetMode="External"/><Relationship Id="rId30" Type="http://schemas.openxmlformats.org/officeDocument/2006/relationships/chart" Target="charts/chart10.xml"/><Relationship Id="rId35" Type="http://schemas.openxmlformats.org/officeDocument/2006/relationships/chart" Target="charts/chart13.xml"/><Relationship Id="rId43" Type="http://schemas.openxmlformats.org/officeDocument/2006/relationships/chart" Target="charts/chart17.xml"/><Relationship Id="rId48" Type="http://schemas.openxmlformats.org/officeDocument/2006/relationships/hyperlink" Target="https://insp.gov.ro/download/cnsisp/Fisiere-de-pe-site-CNSISP/mortalitatea_materna/Mortalitatea-materna-in-Romania-2021.pdf" TargetMode="External"/><Relationship Id="rId56" Type="http://schemas.openxmlformats.org/officeDocument/2006/relationships/hyperlink" Target="https://www.ecdc.europa.eu/sites/default/files/documents/2021-Annual_HIV_Report_0.pdf" TargetMode="External"/><Relationship Id="rId64" Type="http://schemas.openxmlformats.org/officeDocument/2006/relationships/chart" Target="charts/chart26.xml"/><Relationship Id="rId69" Type="http://schemas.openxmlformats.org/officeDocument/2006/relationships/hyperlink" Target="https://population.un.org/dataportal/data/indicators/5/locations/642/start/2012/end/2022/table/pivotbylocation" TargetMode="External"/><Relationship Id="rId77" Type="http://schemas.openxmlformats.org/officeDocument/2006/relationships/image" Target="media/image4.png"/><Relationship Id="rId8" Type="http://schemas.openxmlformats.org/officeDocument/2006/relationships/chart" Target="charts/chart1.xml"/><Relationship Id="rId51" Type="http://schemas.openxmlformats.org/officeDocument/2006/relationships/chart" Target="charts/chart21.xml"/><Relationship Id="rId72" Type="http://schemas.openxmlformats.org/officeDocument/2006/relationships/hyperlink" Target="https://www.unfpa.org/data/world-population/RO" TargetMode="External"/><Relationship Id="rId80" Type="http://schemas.openxmlformats.org/officeDocument/2006/relationships/image" Target="media/image7.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c.europa.eu/eurostat/databrowser/view/DEMO_FASEC__custom_1322514/default/table?lang=en" TargetMode="External"/><Relationship Id="rId17" Type="http://schemas.openxmlformats.org/officeDocument/2006/relationships/chart" Target="charts/chart6.xml"/><Relationship Id="rId25" Type="http://schemas.openxmlformats.org/officeDocument/2006/relationships/chart" Target="charts/chart9.xml"/><Relationship Id="rId33" Type="http://schemas.openxmlformats.org/officeDocument/2006/relationships/chart" Target="charts/chart12.xml"/><Relationship Id="rId38" Type="http://schemas.openxmlformats.org/officeDocument/2006/relationships/hyperlink" Target="https://insp.gov.ro/download/cnsisp/Fisiere-de-pe-site-CNSISP/mortalitatea_materna/Mortalitatea-materna-in-Romania-2021.pdf" TargetMode="External"/><Relationship Id="rId46" Type="http://schemas.openxmlformats.org/officeDocument/2006/relationships/hyperlink" Target="https://insp.gov.ro/download/cnsisp/Fisiere-de-pe-site-CNSISP/mortalitatea_materna/Mortalitatea-materna-in-Romania-2021.pdf" TargetMode="External"/><Relationship Id="rId59" Type="http://schemas.openxmlformats.org/officeDocument/2006/relationships/chart" Target="charts/chart24.xml"/><Relationship Id="rId67" Type="http://schemas.openxmlformats.org/officeDocument/2006/relationships/hyperlink" Target="https://gateway.euro.who.int/en/indicators/hfa_377-2360-incidence-of-cervix-uteri-cancer-per-100-000/visualizations/" TargetMode="External"/><Relationship Id="rId20" Type="http://schemas.openxmlformats.org/officeDocument/2006/relationships/hyperlink" Target="https://www.statista.com/statistics/1240400/maternal-mortality-rates-worldwide-by-country/" TargetMode="External"/><Relationship Id="rId41" Type="http://schemas.openxmlformats.org/officeDocument/2006/relationships/chart" Target="charts/chart16.xml"/><Relationship Id="rId54" Type="http://schemas.openxmlformats.org/officeDocument/2006/relationships/hyperlink" Target="https://insp.gov.ro/download/cnsisp/Fisiere-de-pe-site-CNSISP/mortalitatea_perinatala/Mortalitatea-perinatala-2020.pdf" TargetMode="External"/><Relationship Id="rId62" Type="http://schemas.openxmlformats.org/officeDocument/2006/relationships/hyperlink" Target="https://www.ecdc.europa.eu/sites/default/files/documents/2021-Annual_HIV_Report_0.pdf" TargetMode="External"/><Relationship Id="rId70" Type="http://schemas.openxmlformats.org/officeDocument/2006/relationships/chart" Target="charts/chart29.xml"/><Relationship Id="rId75" Type="http://schemas.openxmlformats.org/officeDocument/2006/relationships/image" Target="media/image2.png"/><Relationship Id="rId83"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www.who.int/data/gho/data/themes/maternal-and-reproductive-health/maternal-mortality-country-profiles" TargetMode="External"/><Relationship Id="rId28" Type="http://schemas.openxmlformats.org/officeDocument/2006/relationships/hyperlink" Target="http://statistici.insse.ro:8077/tempo-online/" TargetMode="External"/><Relationship Id="rId36" Type="http://schemas.openxmlformats.org/officeDocument/2006/relationships/hyperlink" Target="https://insp.gov.ro/download/cnsisp/Fisiere-de-pe-site-CNSISP/mortalitatea_materna/Mortalitatea-materna-in-Romania-2021.pdf" TargetMode="External"/><Relationship Id="rId49" Type="http://schemas.openxmlformats.org/officeDocument/2006/relationships/hyperlink" Target="https://insp.gov.ro/download/cnsisp/Fisiere-de-pe-site-CNSISP/buletin_informativ_-_miscarea_naturala_a_populatiei/Buletin-informativ-Miscarea-naturala-a-populatiei-anul-2021-comparativ-cu-anul-2020.pdf" TargetMode="External"/><Relationship Id="rId57" Type="http://schemas.openxmlformats.org/officeDocument/2006/relationships/chart" Target="charts/chart23.xml"/><Relationship Id="rId10"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hyperlink" Target="https://insp.gov.ro/download/cnsisp/Fisiere-de-pe-site-CNSISP/mortalitatea_materna/Mortalitatea-materna-in-Romania-2021.pdf" TargetMode="External"/><Relationship Id="rId52" Type="http://schemas.openxmlformats.org/officeDocument/2006/relationships/hyperlink" Target="https://insp.gov.ro/download/cnsisp/Fisiere-de-pe-site-CNSISP/buletin_informativ_-_miscarea_naturala_a_populatiei/Buletin-informativ-Miscarea-naturala-a-populatiei-anul-2021-comparativ-cu-anul-2020.pdf" TargetMode="External"/><Relationship Id="rId60" Type="http://schemas.openxmlformats.org/officeDocument/2006/relationships/hyperlink" Target="https://www.ecdc.europa.eu/sites/default/files/documents/2021-Annual_HIV_Report_0.pdf" TargetMode="External"/><Relationship Id="rId65" Type="http://schemas.openxmlformats.org/officeDocument/2006/relationships/hyperlink" Target="http://www.cnlas.ro/images/doc/31122020_rom.pdf" TargetMode="External"/><Relationship Id="rId73" Type="http://schemas.openxmlformats.org/officeDocument/2006/relationships/hyperlink" Target="https://population.un.org/dataportal/data/indicators/5/locations/642/start/2012/end/2022/table/pivotbylocation"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c.europa.eu/eurostat/databrowser/view/tps00204/default/table?lang=en" TargetMode="External"/><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chart" Target="charts/chart15.xml"/><Relationship Id="rId34" Type="http://schemas.openxmlformats.org/officeDocument/2006/relationships/hyperlink" Target="http://statistici.insse.ro:8077/tempo-online/" TargetMode="External"/><Relationship Id="rId50" Type="http://schemas.openxmlformats.org/officeDocument/2006/relationships/chart" Target="charts/chart20.xml"/><Relationship Id="rId55" Type="http://schemas.openxmlformats.org/officeDocument/2006/relationships/chart" Target="charts/chart22.xm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s://population.un.org/dataportal/data/indicators/5/locations/642/start/2012/end/2022/table/pivotbylocation" TargetMode="External"/><Relationship Id="rId2" Type="http://schemas.openxmlformats.org/officeDocument/2006/relationships/numbering" Target="numbering.xml"/><Relationship Id="rId29" Type="http://schemas.openxmlformats.org/officeDocument/2006/relationships/hyperlink" Target="http://statistici.insse.ro:8077/tempo-online/" TargetMode="External"/><Relationship Id="rId24" Type="http://schemas.openxmlformats.org/officeDocument/2006/relationships/hyperlink" Target="http://statistici.insse.ro:8077/tempo-online/" TargetMode="External"/><Relationship Id="rId40" Type="http://schemas.openxmlformats.org/officeDocument/2006/relationships/hyperlink" Target="https://insp.gov.ro/download/cnsisp/Fisiere-de-pe-site-CNSISP/mortalitatea_materna/Mortalitatea-materna-in-Romania-2021.pdf" TargetMode="External"/><Relationship Id="rId45" Type="http://schemas.openxmlformats.org/officeDocument/2006/relationships/chart" Target="charts/chart18.xml"/><Relationship Id="rId66" Type="http://schemas.openxmlformats.org/officeDocument/2006/relationships/chart" Target="charts/chart27.xml"/><Relationship Id="rId87" Type="http://schemas.openxmlformats.org/officeDocument/2006/relationships/theme" Target="theme/theme1.xml"/><Relationship Id="rId61" Type="http://schemas.openxmlformats.org/officeDocument/2006/relationships/chart" Target="charts/chart25.xml"/><Relationship Id="rId82"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who.int/data/gho/data/themes/maternal-and-reproductive-health/maternal-mortality-country-profiles" TargetMode="External"/><Relationship Id="rId13" Type="http://schemas.openxmlformats.org/officeDocument/2006/relationships/hyperlink" Target="https://insp.gov.ro/download/cnsisp/Fisiere-de-pe-site-CNSISP/mortalitatea_materna/Mortalitatea-materna-in-Romania-2021.pdf" TargetMode="External"/><Relationship Id="rId18" Type="http://schemas.openxmlformats.org/officeDocument/2006/relationships/hyperlink" Target="http://www.cnlas.ro/images/doc/31122020_rom.pdf" TargetMode="External"/><Relationship Id="rId26" Type="http://schemas.openxmlformats.org/officeDocument/2006/relationships/hyperlink" Target="https://appsso.eurostat.ec.europa.eu/nui/show.do?dataset=hlth_ps_scre&amp;lang=en" TargetMode="External"/><Relationship Id="rId3" Type="http://schemas.openxmlformats.org/officeDocument/2006/relationships/hyperlink" Target="https://plan-international.org/srhr/teenage-pregnancy/" TargetMode="External"/><Relationship Id="rId21" Type="http://schemas.openxmlformats.org/officeDocument/2006/relationships/hyperlink" Target="https://www.who.int/news-room/fact-sheets/detail/cervical-cancer" TargetMode="External"/><Relationship Id="rId7" Type="http://schemas.openxmlformats.org/officeDocument/2006/relationships/hyperlink" Target="https://ec.europa.eu/eurostat/databrowser/view/tps00017/default/table?lang=en" TargetMode="External"/><Relationship Id="rId12" Type="http://schemas.openxmlformats.org/officeDocument/2006/relationships/hyperlink" Target="https://insp.gov.ro/wpfb-file/buletin-informativ-principalii-indicatori-ai-cunoasterii-starii-de-sanatate-anul-2021-comparativ-cu-anul-2020-pdf/" TargetMode="External"/><Relationship Id="rId17" Type="http://schemas.openxmlformats.org/officeDocument/2006/relationships/hyperlink" Target="https://www.ecdc.europa.eu/sites/default/files/documents/2021-Annual_HIV_Report_0.pdf" TargetMode="External"/><Relationship Id="rId25" Type="http://schemas.openxmlformats.org/officeDocument/2006/relationships/hyperlink" Target="http://www.old.iocn.ro/Centrul-de-prevenire-si-control-al-cancerului/Programul-de-screening-pentru-cancerul-de-col-uterin/Informatii-de-interes-general.html" TargetMode="External"/><Relationship Id="rId2" Type="http://schemas.openxmlformats.org/officeDocument/2006/relationships/hyperlink" Target="https://www.who.int/news-room/fact-sheets/detail/abortio" TargetMode="External"/><Relationship Id="rId16" Type="http://schemas.openxmlformats.org/officeDocument/2006/relationships/hyperlink" Target="https://insp.gov.ro/download/cnsisp/Fisiere-de-pe-site-CNSISP/mortalitatea_perinatala/Mortalitatea-perinatala-2020.pdf" TargetMode="External"/><Relationship Id="rId20" Type="http://schemas.openxmlformats.org/officeDocument/2006/relationships/hyperlink" Target="https://www.ecdc.europa.eu/en/human-papillomavirus/factsheet" TargetMode="External"/><Relationship Id="rId29" Type="http://schemas.openxmlformats.org/officeDocument/2006/relationships/hyperlink" Target="https://www.who.int/publications/i/item/WHO-SRH-22.2" TargetMode="External"/><Relationship Id="rId1" Type="http://schemas.openxmlformats.org/officeDocument/2006/relationships/hyperlink" Target="https://www.figo.org/news/protecting-and-promoting-srhr-adolescents-and-young-adults" TargetMode="External"/><Relationship Id="rId6" Type="http://schemas.openxmlformats.org/officeDocument/2006/relationships/hyperlink" Target="https://ec.europa.eu/eurostat/databrowser/view/tps00204/default/table?lang=en" TargetMode="External"/><Relationship Id="rId11" Type="http://schemas.openxmlformats.org/officeDocument/2006/relationships/hyperlink" Target="http://statistici.insse.ro:8077/tempo-online/" TargetMode="External"/><Relationship Id="rId24" Type="http://schemas.openxmlformats.org/officeDocument/2006/relationships/hyperlink" Target="https://gateway.euro.who.int/en/indicators/hfa_377-2360-incidence-of-cervix-uteri-cancer-per-100-000/visualizations/" TargetMode="External"/><Relationship Id="rId5" Type="http://schemas.openxmlformats.org/officeDocument/2006/relationships/hyperlink" Target="https://www.unicef.org/romania/media/8331/file/SUMAR%20DE%20POLITICI%20prevenirea%20sarcinilor%20%C8%99i%20a%20consecin%C8%9Belor%20acestora%20la%20adolescente.pdf" TargetMode="External"/><Relationship Id="rId15" Type="http://schemas.openxmlformats.org/officeDocument/2006/relationships/hyperlink" Target="https://insp.gov.ro/download/cnsisp/Fisiere-de-pe-site-CNSISP/mortalitatea_perinatala/Mortalitatea-perinatala-2020.pdf" TargetMode="External"/><Relationship Id="rId23" Type="http://schemas.openxmlformats.org/officeDocument/2006/relationships/hyperlink" Target="https://ec.europa.eu/commission/presscorner/detail/eu/ip_22_5562" TargetMode="External"/><Relationship Id="rId28" Type="http://schemas.openxmlformats.org/officeDocument/2006/relationships/hyperlink" Target="https://www.unfpa.org/data/world-population/RO" TargetMode="External"/><Relationship Id="rId10" Type="http://schemas.openxmlformats.org/officeDocument/2006/relationships/hyperlink" Target="https://umbalk.org/wp-content/uploads/2021/09/08.THE-EVOLUTION-OF-MATERNAL-MORTALITY-IN-ROMANIA.pdf" TargetMode="External"/><Relationship Id="rId19" Type="http://schemas.openxmlformats.org/officeDocument/2006/relationships/hyperlink" Target="https://www.who.int/news-room/fact-sheets/detail/cervical-cancer" TargetMode="External"/><Relationship Id="rId4" Type="http://schemas.openxmlformats.org/officeDocument/2006/relationships/hyperlink" Target="https://ec.europa.eu/eurostat/databrowser/view/DEMO_FASEC__custom_1322514/default/table?lang=e" TargetMode="External"/><Relationship Id="rId9" Type="http://schemas.openxmlformats.org/officeDocument/2006/relationships/hyperlink" Target="https://www.statista.com/statistics/1240400/maternal-mortality-rates-worldwide-by-country/" TargetMode="External"/><Relationship Id="rId14" Type="http://schemas.openxmlformats.org/officeDocument/2006/relationships/hyperlink" Target="https://insp.gov.ro/download/cnsisp/Fisiere-de-pe-site-CNSISP/buletin_informativ_-_miscarea_naturala_a_populatiei/Buletin-informativ-Miscarea-naturala-a-populatiei-anul-2021-comparativ-cu-anul-2020.pdf" TargetMode="External"/><Relationship Id="rId22" Type="http://schemas.openxmlformats.org/officeDocument/2006/relationships/hyperlink" Target="https://ec.europa.eu/eurostat/databrowser/view/hlth_ps_scre/default/table?lang=en" TargetMode="External"/><Relationship Id="rId27" Type="http://schemas.openxmlformats.org/officeDocument/2006/relationships/hyperlink" Target="https://population.un.org/dataportal/data/indicators/5/locations/642/start/2012/end/2022/table/pivotbylocation" TargetMode="External"/><Relationship Id="rId30" Type="http://schemas.openxmlformats.org/officeDocument/2006/relationships/hyperlink" Target="https://www.who.int/publications/i/item/978924005265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6.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2011</c:v>
                </c:pt>
              </c:strCache>
            </c:strRef>
          </c:tx>
          <c:invertIfNegative val="0"/>
          <c:dPt>
            <c:idx val="2"/>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0F77-45F5-BF47-8B223A41BC7F}"/>
              </c:ext>
            </c:extLst>
          </c:dPt>
          <c:dPt>
            <c:idx val="5"/>
            <c:invertIfNegative val="0"/>
            <c:bubble3D val="0"/>
            <c:spPr>
              <a:solidFill>
                <a:srgbClr val="0070C0"/>
              </a:solidFill>
            </c:spPr>
          </c:dPt>
          <c:dPt>
            <c:idx val="7"/>
            <c:invertIfNegative val="0"/>
            <c:bubble3D val="0"/>
            <c:spPr>
              <a:solidFill>
                <a:srgbClr val="0070C0"/>
              </a:solidFill>
            </c:spPr>
          </c:dPt>
          <c:dPt>
            <c:idx val="10"/>
            <c:invertIfNegative val="0"/>
            <c:bubble3D val="0"/>
            <c:spPr>
              <a:solidFill>
                <a:srgbClr val="FF0000"/>
              </a:solidFill>
            </c:spPr>
          </c:dPt>
          <c:dLbls>
            <c:dLbl>
              <c:idx val="3"/>
              <c:layout>
                <c:manualLayout>
                  <c:x val="3.8985904407333952E-17"/>
                  <c:y val="1.39372822299651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061137692716646E-3"/>
                  <c:y val="2.78741986519977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885699096225412E-2"/>
                  <c:y val="1.85830429732868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Irlanda</c:v>
                </c:pt>
                <c:pt idx="1">
                  <c:v>Cipru</c:v>
                </c:pt>
                <c:pt idx="2">
                  <c:v>Suedia</c:v>
                </c:pt>
                <c:pt idx="3">
                  <c:v>Franța</c:v>
                </c:pt>
                <c:pt idx="4">
                  <c:v>Danemarca</c:v>
                </c:pt>
                <c:pt idx="5">
                  <c:v>Cehia</c:v>
                </c:pt>
                <c:pt idx="6">
                  <c:v>Luxembourg</c:v>
                </c:pt>
                <c:pt idx="7">
                  <c:v>Slovacia</c:v>
                </c:pt>
                <c:pt idx="8">
                  <c:v>Belgia</c:v>
                </c:pt>
                <c:pt idx="9">
                  <c:v>Țările de Jos</c:v>
                </c:pt>
                <c:pt idx="10">
                  <c:v>România</c:v>
                </c:pt>
              </c:strCache>
            </c:strRef>
          </c:cat>
          <c:val>
            <c:numRef>
              <c:f>Sheet1!$B$2:$B$13</c:f>
              <c:numCache>
                <c:formatCode>General</c:formatCode>
                <c:ptCount val="12"/>
                <c:pt idx="0">
                  <c:v>16.2</c:v>
                </c:pt>
                <c:pt idx="1">
                  <c:v>11.3</c:v>
                </c:pt>
                <c:pt idx="2">
                  <c:v>11.8</c:v>
                </c:pt>
                <c:pt idx="3">
                  <c:v>12.7</c:v>
                </c:pt>
                <c:pt idx="4">
                  <c:v>10.6</c:v>
                </c:pt>
                <c:pt idx="5">
                  <c:v>10.4</c:v>
                </c:pt>
                <c:pt idx="6">
                  <c:v>10.9</c:v>
                </c:pt>
                <c:pt idx="7">
                  <c:v>11.3</c:v>
                </c:pt>
                <c:pt idx="8">
                  <c:v>11.7</c:v>
                </c:pt>
                <c:pt idx="9">
                  <c:v>10.8</c:v>
                </c:pt>
                <c:pt idx="10">
                  <c:v>9.6999999999999993</c:v>
                </c:pt>
              </c:numCache>
            </c:numRef>
          </c:val>
          <c:extLst xmlns:c16r2="http://schemas.microsoft.com/office/drawing/2015/06/chart">
            <c:ext xmlns:c16="http://schemas.microsoft.com/office/drawing/2014/chart" uri="{C3380CC4-5D6E-409C-BE32-E72D297353CC}">
              <c16:uniqueId val="{0000000B-0F77-45F5-BF47-8B223A41BC7F}"/>
            </c:ext>
          </c:extLst>
        </c:ser>
        <c:ser>
          <c:idx val="1"/>
          <c:order val="1"/>
          <c:tx>
            <c:strRef>
              <c:f>Sheet1!$C$1</c:f>
              <c:strCache>
                <c:ptCount val="1"/>
                <c:pt idx="0">
                  <c:v>2021</c:v>
                </c:pt>
              </c:strCache>
            </c:strRef>
          </c:tx>
          <c:spPr>
            <a:solidFill>
              <a:schemeClr val="accent1">
                <a:lumMod val="40000"/>
                <a:lumOff val="60000"/>
              </a:schemeClr>
            </a:solidFill>
          </c:spPr>
          <c:invertIfNegative val="0"/>
          <c:dPt>
            <c:idx val="10"/>
            <c:invertIfNegative val="0"/>
            <c:bubble3D val="0"/>
            <c:spPr>
              <a:solidFill>
                <a:schemeClr val="accent2">
                  <a:lumMod val="60000"/>
                  <a:lumOff val="40000"/>
                </a:schemeClr>
              </a:solidFill>
            </c:spPr>
          </c:dPt>
          <c:dLbls>
            <c:dLbl>
              <c:idx val="1"/>
              <c:layout>
                <c:manualLayout>
                  <c:x val="1.0632642211589599E-2"/>
                  <c:y val="1.85830429732868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79585326953748E-3"/>
                  <c:y val="3.252032520325203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061137692716646E-3"/>
                  <c:y val="3.252032520325203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061137692716646E-3"/>
                  <c:y val="9.2915214866434379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379585326953748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5061137692716646E-3"/>
                  <c:y val="3.716608594657375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5061137692715866E-3"/>
                  <c:y val="1.393728222996515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2530568846358323E-3"/>
                  <c:y val="3.252032520325203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063264221158958E-2"/>
                  <c:y val="2.787456445993031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5061137692716646E-3"/>
                  <c:y val="9.291521486643437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Irlanda</c:v>
                </c:pt>
                <c:pt idx="1">
                  <c:v>Cipru</c:v>
                </c:pt>
                <c:pt idx="2">
                  <c:v>Suedia</c:v>
                </c:pt>
                <c:pt idx="3">
                  <c:v>Franța</c:v>
                </c:pt>
                <c:pt idx="4">
                  <c:v>Danemarca</c:v>
                </c:pt>
                <c:pt idx="5">
                  <c:v>Cehia</c:v>
                </c:pt>
                <c:pt idx="6">
                  <c:v>Luxembourg</c:v>
                </c:pt>
                <c:pt idx="7">
                  <c:v>Slovacia</c:v>
                </c:pt>
                <c:pt idx="8">
                  <c:v>Belgia</c:v>
                </c:pt>
                <c:pt idx="9">
                  <c:v>Țările de Jos</c:v>
                </c:pt>
                <c:pt idx="10">
                  <c:v>România</c:v>
                </c:pt>
              </c:strCache>
            </c:strRef>
          </c:cat>
          <c:val>
            <c:numRef>
              <c:f>Sheet1!$C$2:$C$13</c:f>
              <c:numCache>
                <c:formatCode>General</c:formatCode>
                <c:ptCount val="12"/>
                <c:pt idx="0">
                  <c:v>11.6</c:v>
                </c:pt>
                <c:pt idx="1">
                  <c:v>11.3</c:v>
                </c:pt>
                <c:pt idx="2">
                  <c:v>11</c:v>
                </c:pt>
                <c:pt idx="3">
                  <c:v>10.9</c:v>
                </c:pt>
                <c:pt idx="4">
                  <c:v>10.8</c:v>
                </c:pt>
                <c:pt idx="5">
                  <c:v>10.6</c:v>
                </c:pt>
                <c:pt idx="6">
                  <c:v>10.5</c:v>
                </c:pt>
                <c:pt idx="7">
                  <c:v>10.4</c:v>
                </c:pt>
                <c:pt idx="8">
                  <c:v>10.199999999999999</c:v>
                </c:pt>
                <c:pt idx="9">
                  <c:v>10.199999999999999</c:v>
                </c:pt>
                <c:pt idx="10">
                  <c:v>9.3000000000000007</c:v>
                </c:pt>
              </c:numCache>
            </c:numRef>
          </c:val>
          <c:extLst xmlns:c16r2="http://schemas.microsoft.com/office/drawing/2015/06/chart">
            <c:ext xmlns:c16="http://schemas.microsoft.com/office/drawing/2014/chart" uri="{C3380CC4-5D6E-409C-BE32-E72D297353CC}">
              <c16:uniqueId val="{0000000C-0F77-45F5-BF47-8B223A41BC7F}"/>
            </c:ext>
          </c:extLst>
        </c:ser>
        <c:ser>
          <c:idx val="2"/>
          <c:order val="2"/>
          <c:tx>
            <c:strRef>
              <c:f>Sheet1!$D$1</c:f>
              <c:strCache>
                <c:ptCount val="1"/>
                <c:pt idx="0">
                  <c:v>Column2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Irlanda</c:v>
                </c:pt>
                <c:pt idx="1">
                  <c:v>Cipru</c:v>
                </c:pt>
                <c:pt idx="2">
                  <c:v>Suedia</c:v>
                </c:pt>
                <c:pt idx="3">
                  <c:v>Franța</c:v>
                </c:pt>
                <c:pt idx="4">
                  <c:v>Danemarca</c:v>
                </c:pt>
                <c:pt idx="5">
                  <c:v>Cehia</c:v>
                </c:pt>
                <c:pt idx="6">
                  <c:v>Luxembourg</c:v>
                </c:pt>
                <c:pt idx="7">
                  <c:v>Slovacia</c:v>
                </c:pt>
                <c:pt idx="8">
                  <c:v>Belgia</c:v>
                </c:pt>
                <c:pt idx="9">
                  <c:v>Țările de Jos</c:v>
                </c:pt>
                <c:pt idx="10">
                  <c:v>România</c:v>
                </c:pt>
              </c:strCache>
            </c:str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0D-0F77-45F5-BF47-8B223A41BC7F}"/>
            </c:ext>
          </c:extLst>
        </c:ser>
        <c:dLbls>
          <c:showLegendKey val="0"/>
          <c:showVal val="1"/>
          <c:showCatName val="0"/>
          <c:showSerName val="0"/>
          <c:showPercent val="0"/>
          <c:showBubbleSize val="0"/>
        </c:dLbls>
        <c:gapWidth val="75"/>
        <c:axId val="-805904256"/>
        <c:axId val="-805897728"/>
      </c:barChart>
      <c:catAx>
        <c:axId val="-805904256"/>
        <c:scaling>
          <c:orientation val="minMax"/>
        </c:scaling>
        <c:delete val="0"/>
        <c:axPos val="b"/>
        <c:numFmt formatCode="General" sourceLinked="0"/>
        <c:majorTickMark val="none"/>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en-US"/>
          </a:p>
        </c:txPr>
        <c:crossAx val="-805897728"/>
        <c:crosses val="autoZero"/>
        <c:auto val="1"/>
        <c:lblAlgn val="ctr"/>
        <c:lblOffset val="100"/>
        <c:noMultiLvlLbl val="0"/>
      </c:catAx>
      <c:valAx>
        <c:axId val="-805897728"/>
        <c:scaling>
          <c:orientation val="minMax"/>
        </c:scaling>
        <c:delete val="0"/>
        <c:axPos val="l"/>
        <c:numFmt formatCode="General"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805904256"/>
        <c:crosses val="autoZero"/>
        <c:crossBetween val="between"/>
      </c:valAx>
    </c:plotArea>
    <c:legend>
      <c:legendPos val="b"/>
      <c:legendEntry>
        <c:idx val="2"/>
        <c:delete val="1"/>
      </c:legendEntry>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Sheet1!$A$2:$A$43</c:f>
              <c:strCache>
                <c:ptCount val="42"/>
                <c:pt idx="0">
                  <c:v>Covasna</c:v>
                </c:pt>
                <c:pt idx="1">
                  <c:v>Teleorman</c:v>
                </c:pt>
                <c:pt idx="2">
                  <c:v>Bacău</c:v>
                </c:pt>
                <c:pt idx="3">
                  <c:v>Bistrița-Năsăud</c:v>
                </c:pt>
                <c:pt idx="4">
                  <c:v>Sibiu</c:v>
                </c:pt>
                <c:pt idx="5">
                  <c:v>Ialomița</c:v>
                </c:pt>
                <c:pt idx="6">
                  <c:v>Buzău</c:v>
                </c:pt>
                <c:pt idx="7">
                  <c:v>Cluj</c:v>
                </c:pt>
                <c:pt idx="8">
                  <c:v>Brăila</c:v>
                </c:pt>
                <c:pt idx="9">
                  <c:v>Constanța</c:v>
                </c:pt>
                <c:pt idx="10">
                  <c:v>Bihor</c:v>
                </c:pt>
                <c:pt idx="11">
                  <c:v>Caraș-Severin</c:v>
                </c:pt>
                <c:pt idx="12">
                  <c:v>Neamț</c:v>
                </c:pt>
                <c:pt idx="13">
                  <c:v>București</c:v>
                </c:pt>
                <c:pt idx="14">
                  <c:v>Brașov</c:v>
                </c:pt>
                <c:pt idx="15">
                  <c:v>Harghita</c:v>
                </c:pt>
                <c:pt idx="16">
                  <c:v>Dolj</c:v>
                </c:pt>
                <c:pt idx="17">
                  <c:v>Mureș</c:v>
                </c:pt>
                <c:pt idx="18">
                  <c:v>Argeș</c:v>
                </c:pt>
                <c:pt idx="19">
                  <c:v>Hunedoara</c:v>
                </c:pt>
                <c:pt idx="20">
                  <c:v>Vaslui</c:v>
                </c:pt>
                <c:pt idx="21">
                  <c:v>Suceava</c:v>
                </c:pt>
                <c:pt idx="22">
                  <c:v>Gorj</c:v>
                </c:pt>
                <c:pt idx="23">
                  <c:v>Ilfov</c:v>
                </c:pt>
                <c:pt idx="24">
                  <c:v>Satu-Mare</c:v>
                </c:pt>
                <c:pt idx="25">
                  <c:v>Maramureș</c:v>
                </c:pt>
                <c:pt idx="26">
                  <c:v>Botoșani</c:v>
                </c:pt>
                <c:pt idx="27">
                  <c:v>Tulcea</c:v>
                </c:pt>
                <c:pt idx="28">
                  <c:v>Vrancea</c:v>
                </c:pt>
                <c:pt idx="29">
                  <c:v>Galați</c:v>
                </c:pt>
                <c:pt idx="30">
                  <c:v>Vâlcea</c:v>
                </c:pt>
                <c:pt idx="31">
                  <c:v>Călărași</c:v>
                </c:pt>
                <c:pt idx="32">
                  <c:v>Iași</c:v>
                </c:pt>
                <c:pt idx="33">
                  <c:v>Sălaj</c:v>
                </c:pt>
                <c:pt idx="34">
                  <c:v>Alba</c:v>
                </c:pt>
                <c:pt idx="35">
                  <c:v>Dămbovița</c:v>
                </c:pt>
                <c:pt idx="36">
                  <c:v>Arad</c:v>
                </c:pt>
                <c:pt idx="37">
                  <c:v>Mehedinți</c:v>
                </c:pt>
                <c:pt idx="38">
                  <c:v>Prahova</c:v>
                </c:pt>
                <c:pt idx="39">
                  <c:v>Timiș</c:v>
                </c:pt>
                <c:pt idx="40">
                  <c:v>Giurgiu</c:v>
                </c:pt>
                <c:pt idx="41">
                  <c:v>Olt</c:v>
                </c:pt>
              </c:strCache>
            </c:strRef>
          </c:cat>
          <c:val>
            <c:numRef>
              <c:f>Sheet1!$B$2:$B$43</c:f>
              <c:numCache>
                <c:formatCode>General</c:formatCode>
                <c:ptCount val="42"/>
                <c:pt idx="0">
                  <c:v>18.399999999999999</c:v>
                </c:pt>
                <c:pt idx="1">
                  <c:v>17.100000000000001</c:v>
                </c:pt>
                <c:pt idx="2">
                  <c:v>14.1</c:v>
                </c:pt>
                <c:pt idx="3">
                  <c:v>13.7</c:v>
                </c:pt>
                <c:pt idx="4">
                  <c:v>13.5</c:v>
                </c:pt>
                <c:pt idx="5">
                  <c:v>13.2</c:v>
                </c:pt>
                <c:pt idx="6">
                  <c:v>12.9</c:v>
                </c:pt>
                <c:pt idx="7">
                  <c:v>10.8</c:v>
                </c:pt>
                <c:pt idx="8">
                  <c:v>10.7</c:v>
                </c:pt>
                <c:pt idx="9">
                  <c:v>9.9</c:v>
                </c:pt>
                <c:pt idx="10">
                  <c:v>8.9</c:v>
                </c:pt>
                <c:pt idx="11">
                  <c:v>8.9</c:v>
                </c:pt>
                <c:pt idx="12">
                  <c:v>8.8000000000000007</c:v>
                </c:pt>
                <c:pt idx="13">
                  <c:v>8.8000000000000007</c:v>
                </c:pt>
                <c:pt idx="14">
                  <c:v>8.5</c:v>
                </c:pt>
                <c:pt idx="15">
                  <c:v>8.5</c:v>
                </c:pt>
                <c:pt idx="16">
                  <c:v>7</c:v>
                </c:pt>
                <c:pt idx="17">
                  <c:v>6.4</c:v>
                </c:pt>
                <c:pt idx="18">
                  <c:v>5.7</c:v>
                </c:pt>
                <c:pt idx="19">
                  <c:v>5.6</c:v>
                </c:pt>
                <c:pt idx="20">
                  <c:v>5.5</c:v>
                </c:pt>
                <c:pt idx="21">
                  <c:v>5.3</c:v>
                </c:pt>
                <c:pt idx="22">
                  <c:v>5</c:v>
                </c:pt>
                <c:pt idx="23">
                  <c:v>5</c:v>
                </c:pt>
                <c:pt idx="24">
                  <c:v>5</c:v>
                </c:pt>
                <c:pt idx="25">
                  <c:v>5</c:v>
                </c:pt>
                <c:pt idx="26">
                  <c:v>4.7</c:v>
                </c:pt>
                <c:pt idx="27">
                  <c:v>4.5999999999999996</c:v>
                </c:pt>
                <c:pt idx="28">
                  <c:v>4.2</c:v>
                </c:pt>
                <c:pt idx="29">
                  <c:v>4</c:v>
                </c:pt>
                <c:pt idx="30">
                  <c:v>4</c:v>
                </c:pt>
                <c:pt idx="31">
                  <c:v>3.6</c:v>
                </c:pt>
                <c:pt idx="32">
                  <c:v>3.6</c:v>
                </c:pt>
                <c:pt idx="33">
                  <c:v>3.4</c:v>
                </c:pt>
                <c:pt idx="34">
                  <c:v>3.3</c:v>
                </c:pt>
                <c:pt idx="35">
                  <c:v>3.1</c:v>
                </c:pt>
                <c:pt idx="36">
                  <c:v>3</c:v>
                </c:pt>
                <c:pt idx="37">
                  <c:v>2.9</c:v>
                </c:pt>
                <c:pt idx="38">
                  <c:v>2.7</c:v>
                </c:pt>
                <c:pt idx="39">
                  <c:v>2.7</c:v>
                </c:pt>
                <c:pt idx="40">
                  <c:v>2.6</c:v>
                </c:pt>
                <c:pt idx="41">
                  <c:v>2.6</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Covasna</c:v>
                </c:pt>
                <c:pt idx="1">
                  <c:v>Teleorman</c:v>
                </c:pt>
                <c:pt idx="2">
                  <c:v>Bacău</c:v>
                </c:pt>
                <c:pt idx="3">
                  <c:v>Bistrița-Năsăud</c:v>
                </c:pt>
                <c:pt idx="4">
                  <c:v>Sibiu</c:v>
                </c:pt>
                <c:pt idx="5">
                  <c:v>Ialomița</c:v>
                </c:pt>
                <c:pt idx="6">
                  <c:v>Buzău</c:v>
                </c:pt>
                <c:pt idx="7">
                  <c:v>Cluj</c:v>
                </c:pt>
                <c:pt idx="8">
                  <c:v>Brăila</c:v>
                </c:pt>
                <c:pt idx="9">
                  <c:v>Constanța</c:v>
                </c:pt>
                <c:pt idx="10">
                  <c:v>Bihor</c:v>
                </c:pt>
                <c:pt idx="11">
                  <c:v>Caraș-Severin</c:v>
                </c:pt>
                <c:pt idx="12">
                  <c:v>Neamț</c:v>
                </c:pt>
                <c:pt idx="13">
                  <c:v>București</c:v>
                </c:pt>
                <c:pt idx="14">
                  <c:v>Brașov</c:v>
                </c:pt>
                <c:pt idx="15">
                  <c:v>Harghita</c:v>
                </c:pt>
                <c:pt idx="16">
                  <c:v>Dolj</c:v>
                </c:pt>
                <c:pt idx="17">
                  <c:v>Mureș</c:v>
                </c:pt>
                <c:pt idx="18">
                  <c:v>Argeș</c:v>
                </c:pt>
                <c:pt idx="19">
                  <c:v>Hunedoara</c:v>
                </c:pt>
                <c:pt idx="20">
                  <c:v>Vaslui</c:v>
                </c:pt>
                <c:pt idx="21">
                  <c:v>Suceava</c:v>
                </c:pt>
                <c:pt idx="22">
                  <c:v>Gorj</c:v>
                </c:pt>
                <c:pt idx="23">
                  <c:v>Ilfov</c:v>
                </c:pt>
                <c:pt idx="24">
                  <c:v>Satu-Mare</c:v>
                </c:pt>
                <c:pt idx="25">
                  <c:v>Maramureș</c:v>
                </c:pt>
                <c:pt idx="26">
                  <c:v>Botoșani</c:v>
                </c:pt>
                <c:pt idx="27">
                  <c:v>Tulcea</c:v>
                </c:pt>
                <c:pt idx="28">
                  <c:v>Vrancea</c:v>
                </c:pt>
                <c:pt idx="29">
                  <c:v>Galați</c:v>
                </c:pt>
                <c:pt idx="30">
                  <c:v>Vâlcea</c:v>
                </c:pt>
                <c:pt idx="31">
                  <c:v>Călărași</c:v>
                </c:pt>
                <c:pt idx="32">
                  <c:v>Iași</c:v>
                </c:pt>
                <c:pt idx="33">
                  <c:v>Sălaj</c:v>
                </c:pt>
                <c:pt idx="34">
                  <c:v>Alba</c:v>
                </c:pt>
                <c:pt idx="35">
                  <c:v>Dămbovița</c:v>
                </c:pt>
                <c:pt idx="36">
                  <c:v>Arad</c:v>
                </c:pt>
                <c:pt idx="37">
                  <c:v>Mehedinți</c:v>
                </c:pt>
                <c:pt idx="38">
                  <c:v>Prahova</c:v>
                </c:pt>
                <c:pt idx="39">
                  <c:v>Timiș</c:v>
                </c:pt>
                <c:pt idx="40">
                  <c:v>Giurgiu</c:v>
                </c:pt>
                <c:pt idx="41">
                  <c:v>Olt</c:v>
                </c:pt>
              </c:strCache>
            </c:strRef>
          </c:cat>
          <c:val>
            <c:numRef>
              <c:f>Sheet1!$C$2:$C$45</c:f>
              <c:numCache>
                <c:formatCode>General</c:formatCode>
                <c:ptCount val="44"/>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Covasna</c:v>
                </c:pt>
                <c:pt idx="1">
                  <c:v>Teleorman</c:v>
                </c:pt>
                <c:pt idx="2">
                  <c:v>Bacău</c:v>
                </c:pt>
                <c:pt idx="3">
                  <c:v>Bistrița-Năsăud</c:v>
                </c:pt>
                <c:pt idx="4">
                  <c:v>Sibiu</c:v>
                </c:pt>
                <c:pt idx="5">
                  <c:v>Ialomița</c:v>
                </c:pt>
                <c:pt idx="6">
                  <c:v>Buzău</c:v>
                </c:pt>
                <c:pt idx="7">
                  <c:v>Cluj</c:v>
                </c:pt>
                <c:pt idx="8">
                  <c:v>Brăila</c:v>
                </c:pt>
                <c:pt idx="9">
                  <c:v>Constanța</c:v>
                </c:pt>
                <c:pt idx="10">
                  <c:v>Bihor</c:v>
                </c:pt>
                <c:pt idx="11">
                  <c:v>Caraș-Severin</c:v>
                </c:pt>
                <c:pt idx="12">
                  <c:v>Neamț</c:v>
                </c:pt>
                <c:pt idx="13">
                  <c:v>București</c:v>
                </c:pt>
                <c:pt idx="14">
                  <c:v>Brașov</c:v>
                </c:pt>
                <c:pt idx="15">
                  <c:v>Harghita</c:v>
                </c:pt>
                <c:pt idx="16">
                  <c:v>Dolj</c:v>
                </c:pt>
                <c:pt idx="17">
                  <c:v>Mureș</c:v>
                </c:pt>
                <c:pt idx="18">
                  <c:v>Argeș</c:v>
                </c:pt>
                <c:pt idx="19">
                  <c:v>Hunedoara</c:v>
                </c:pt>
                <c:pt idx="20">
                  <c:v>Vaslui</c:v>
                </c:pt>
                <c:pt idx="21">
                  <c:v>Suceava</c:v>
                </c:pt>
                <c:pt idx="22">
                  <c:v>Gorj</c:v>
                </c:pt>
                <c:pt idx="23">
                  <c:v>Ilfov</c:v>
                </c:pt>
                <c:pt idx="24">
                  <c:v>Satu-Mare</c:v>
                </c:pt>
                <c:pt idx="25">
                  <c:v>Maramureș</c:v>
                </c:pt>
                <c:pt idx="26">
                  <c:v>Botoșani</c:v>
                </c:pt>
                <c:pt idx="27">
                  <c:v>Tulcea</c:v>
                </c:pt>
                <c:pt idx="28">
                  <c:v>Vrancea</c:v>
                </c:pt>
                <c:pt idx="29">
                  <c:v>Galați</c:v>
                </c:pt>
                <c:pt idx="30">
                  <c:v>Vâlcea</c:v>
                </c:pt>
                <c:pt idx="31">
                  <c:v>Călărași</c:v>
                </c:pt>
                <c:pt idx="32">
                  <c:v>Iași</c:v>
                </c:pt>
                <c:pt idx="33">
                  <c:v>Sălaj</c:v>
                </c:pt>
                <c:pt idx="34">
                  <c:v>Alba</c:v>
                </c:pt>
                <c:pt idx="35">
                  <c:v>Dămbovița</c:v>
                </c:pt>
                <c:pt idx="36">
                  <c:v>Arad</c:v>
                </c:pt>
                <c:pt idx="37">
                  <c:v>Mehedinți</c:v>
                </c:pt>
                <c:pt idx="38">
                  <c:v>Prahova</c:v>
                </c:pt>
                <c:pt idx="39">
                  <c:v>Timiș</c:v>
                </c:pt>
                <c:pt idx="40">
                  <c:v>Giurgiu</c:v>
                </c:pt>
                <c:pt idx="41">
                  <c:v>Olt</c:v>
                </c:pt>
              </c:strCache>
            </c:strRef>
          </c:cat>
          <c:val>
            <c:numRef>
              <c:f>Sheet1!$D$2:$D$45</c:f>
              <c:numCache>
                <c:formatCode>General</c:formatCode>
                <c:ptCount val="44"/>
              </c:numCache>
            </c:numRef>
          </c:val>
        </c:ser>
        <c:dLbls>
          <c:dLblPos val="outEnd"/>
          <c:showLegendKey val="0"/>
          <c:showVal val="1"/>
          <c:showCatName val="0"/>
          <c:showSerName val="0"/>
          <c:showPercent val="0"/>
          <c:showBubbleSize val="0"/>
        </c:dLbls>
        <c:gapWidth val="0"/>
        <c:axId val="-805873792"/>
        <c:axId val="-805893376"/>
      </c:barChart>
      <c:catAx>
        <c:axId val="-805873792"/>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893376"/>
        <c:crosses val="autoZero"/>
        <c:auto val="1"/>
        <c:lblAlgn val="ctr"/>
        <c:lblOffset val="100"/>
        <c:noMultiLvlLbl val="0"/>
      </c:catAx>
      <c:valAx>
        <c:axId val="-805893376"/>
        <c:scaling>
          <c:orientation val="minMax"/>
        </c:scaling>
        <c:delete val="0"/>
        <c:axPos val="l"/>
        <c:numFmt formatCode="General" sourceLinked="1"/>
        <c:majorTickMark val="out"/>
        <c:minorTickMark val="none"/>
        <c:tickLblPos val="nextTo"/>
        <c:txPr>
          <a:bodyPr/>
          <a:lstStyle/>
          <a:p>
            <a:pPr>
              <a:defRPr sz="500"/>
            </a:pPr>
            <a:endParaRPr lang="en-US"/>
          </a:p>
        </c:txPr>
        <c:crossAx val="-80587379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Word]Grupa de varsta'!$BA$44</c:f>
              <c:strCache>
                <c:ptCount val="1"/>
                <c:pt idx="0">
                  <c:v>într.total</c:v>
                </c:pt>
              </c:strCache>
            </c:strRef>
          </c:tx>
          <c:spPr>
            <a:solidFill>
              <a:schemeClr val="accent1">
                <a:shade val="65000"/>
              </a:schemeClr>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Word]Grupa de varsta'!$BB$43:$BJ$43</c:f>
              <c:strCache>
                <c:ptCount val="8"/>
                <c:pt idx="1">
                  <c:v> 15-19 ani</c:v>
                </c:pt>
                <c:pt idx="2">
                  <c:v> 20-24 ani</c:v>
                </c:pt>
                <c:pt idx="3">
                  <c:v> 25-29 ani</c:v>
                </c:pt>
                <c:pt idx="4">
                  <c:v> 30-34 ani</c:v>
                </c:pt>
                <c:pt idx="5">
                  <c:v> 35-39 ani</c:v>
                </c:pt>
                <c:pt idx="6">
                  <c:v> 40-44 ani</c:v>
                </c:pt>
                <c:pt idx="7">
                  <c:v> 45-49 ani</c:v>
                </c:pt>
              </c:strCache>
            </c:strRef>
          </c:cat>
          <c:val>
            <c:numRef>
              <c:f>'[Chart in Microsoft Word]Grupa de varsta'!$BB$44:$BJ$44</c:f>
              <c:numCache>
                <c:formatCode>0\.0</c:formatCode>
                <c:ptCount val="9"/>
                <c:pt idx="1">
                  <c:v>4.5999999999999996</c:v>
                </c:pt>
                <c:pt idx="2">
                  <c:v>9.4</c:v>
                </c:pt>
                <c:pt idx="3">
                  <c:v>10.6</c:v>
                </c:pt>
                <c:pt idx="4">
                  <c:v>8.1999999999999993</c:v>
                </c:pt>
                <c:pt idx="5">
                  <c:v>6.2</c:v>
                </c:pt>
                <c:pt idx="6">
                  <c:v>2.8</c:v>
                </c:pt>
                <c:pt idx="7">
                  <c:v>0.3</c:v>
                </c:pt>
              </c:numCache>
            </c:numRef>
          </c:val>
        </c:ser>
        <c:ser>
          <c:idx val="1"/>
          <c:order val="1"/>
          <c:tx>
            <c:strRef>
              <c:f>'[Chart in Microsoft Word]Grupa de varsta'!$BA$45</c:f>
              <c:strCache>
                <c:ptCount val="1"/>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Word]Grupa de varsta'!$BB$43:$BJ$43</c:f>
              <c:strCache>
                <c:ptCount val="8"/>
                <c:pt idx="1">
                  <c:v> 15-19 ani</c:v>
                </c:pt>
                <c:pt idx="2">
                  <c:v> 20-24 ani</c:v>
                </c:pt>
                <c:pt idx="3">
                  <c:v> 25-29 ani</c:v>
                </c:pt>
                <c:pt idx="4">
                  <c:v> 30-34 ani</c:v>
                </c:pt>
                <c:pt idx="5">
                  <c:v> 35-39 ani</c:v>
                </c:pt>
                <c:pt idx="6">
                  <c:v> 40-44 ani</c:v>
                </c:pt>
                <c:pt idx="7">
                  <c:v> 45-49 ani</c:v>
                </c:pt>
              </c:strCache>
            </c:strRef>
          </c:cat>
          <c:val>
            <c:numRef>
              <c:f>'[Chart in Microsoft Word]Grupa de varsta'!$BB$45:$BJ$45</c:f>
              <c:numCache>
                <c:formatCode>General</c:formatCode>
                <c:ptCount val="9"/>
              </c:numCache>
            </c:numRef>
          </c:val>
        </c:ser>
        <c:ser>
          <c:idx val="2"/>
          <c:order val="2"/>
          <c:tx>
            <c:strRef>
              <c:f>'[Chart in Microsoft Word]Grupa de varsta'!$BA$46</c:f>
              <c:strCache>
                <c:ptCount val="1"/>
              </c:strCache>
            </c:strRef>
          </c:tx>
          <c:spPr>
            <a:solidFill>
              <a:schemeClr val="accent1">
                <a:tint val="65000"/>
              </a:schemeClr>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Word]Grupa de varsta'!$BB$43:$BJ$43</c:f>
              <c:strCache>
                <c:ptCount val="8"/>
                <c:pt idx="1">
                  <c:v> 15-19 ani</c:v>
                </c:pt>
                <c:pt idx="2">
                  <c:v> 20-24 ani</c:v>
                </c:pt>
                <c:pt idx="3">
                  <c:v> 25-29 ani</c:v>
                </c:pt>
                <c:pt idx="4">
                  <c:v> 30-34 ani</c:v>
                </c:pt>
                <c:pt idx="5">
                  <c:v> 35-39 ani</c:v>
                </c:pt>
                <c:pt idx="6">
                  <c:v> 40-44 ani</c:v>
                </c:pt>
                <c:pt idx="7">
                  <c:v> 45-49 ani</c:v>
                </c:pt>
              </c:strCache>
            </c:strRef>
          </c:cat>
          <c:val>
            <c:numRef>
              <c:f>'[Chart in Microsoft Word]Grupa de varsta'!$BB$46:$BJ$46</c:f>
              <c:numCache>
                <c:formatCode>General</c:formatCode>
                <c:ptCount val="9"/>
              </c:numCache>
            </c:numRef>
          </c:val>
        </c:ser>
        <c:dLbls>
          <c:showLegendKey val="0"/>
          <c:showVal val="0"/>
          <c:showCatName val="0"/>
          <c:showSerName val="0"/>
          <c:showPercent val="0"/>
          <c:showBubbleSize val="0"/>
        </c:dLbls>
        <c:gapWidth val="219"/>
        <c:overlap val="-27"/>
        <c:axId val="-805874336"/>
        <c:axId val="-805889024"/>
      </c:barChart>
      <c:catAx>
        <c:axId val="-80587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05889024"/>
        <c:crosses val="autoZero"/>
        <c:auto val="1"/>
        <c:lblAlgn val="ctr"/>
        <c:lblOffset val="100"/>
        <c:noMultiLvlLbl val="0"/>
      </c:catAx>
      <c:valAx>
        <c:axId val="-805889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058743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invertIfNegative val="0"/>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General</c:formatCode>
                <c:ptCount val="10"/>
                <c:pt idx="0">
                  <c:v>15.5</c:v>
                </c:pt>
                <c:pt idx="1">
                  <c:v>15.3</c:v>
                </c:pt>
                <c:pt idx="2">
                  <c:v>13.9</c:v>
                </c:pt>
                <c:pt idx="3">
                  <c:v>12.6</c:v>
                </c:pt>
                <c:pt idx="4">
                  <c:v>11.3</c:v>
                </c:pt>
                <c:pt idx="5">
                  <c:v>10.1</c:v>
                </c:pt>
                <c:pt idx="6">
                  <c:v>9.6</c:v>
                </c:pt>
                <c:pt idx="7">
                  <c:v>8.9</c:v>
                </c:pt>
                <c:pt idx="8">
                  <c:v>6.1</c:v>
                </c:pt>
                <c:pt idx="9">
                  <c:v>5.6</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15-19 ani</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General</c:formatCode>
                <c:ptCount val="10"/>
                <c:pt idx="0">
                  <c:v>13.1</c:v>
                </c:pt>
                <c:pt idx="1">
                  <c:v>13.4</c:v>
                </c:pt>
                <c:pt idx="2">
                  <c:v>13</c:v>
                </c:pt>
                <c:pt idx="3">
                  <c:v>11.4</c:v>
                </c:pt>
                <c:pt idx="4">
                  <c:v>10.6</c:v>
                </c:pt>
                <c:pt idx="5">
                  <c:v>9.4</c:v>
                </c:pt>
                <c:pt idx="6">
                  <c:v>8.8000000000000007</c:v>
                </c:pt>
                <c:pt idx="7">
                  <c:v>7.8</c:v>
                </c:pt>
                <c:pt idx="8">
                  <c:v>5</c:v>
                </c:pt>
                <c:pt idx="9">
                  <c:v>4.5999999999999996</c:v>
                </c:pt>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805903712"/>
        <c:axId val="-805901536"/>
      </c:barChart>
      <c:catAx>
        <c:axId val="-805903712"/>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901536"/>
        <c:crosses val="autoZero"/>
        <c:auto val="1"/>
        <c:lblAlgn val="ctr"/>
        <c:lblOffset val="100"/>
        <c:noMultiLvlLbl val="0"/>
      </c:catAx>
      <c:valAx>
        <c:axId val="-805901536"/>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903712"/>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Avort</c:v>
                </c:pt>
              </c:strCache>
            </c:strRef>
          </c:tx>
          <c:dLbls>
            <c:dLbl>
              <c:idx val="0"/>
              <c:layout>
                <c:manualLayout>
                  <c:x val="-4.0126494051672977E-2"/>
                  <c:y val="-6.27260999154766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98-44FC-9203-CEF07C36F475}"/>
                </c:ext>
                <c:ext xmlns:c15="http://schemas.microsoft.com/office/drawing/2012/chart" uri="{CE6537A1-D6FC-4f65-9D91-7224C49458BB}"/>
              </c:extLst>
            </c:dLbl>
            <c:dLbl>
              <c:idx val="1"/>
              <c:layout>
                <c:manualLayout>
                  <c:x val="-3.2033423743124671E-2"/>
                  <c:y val="2.69255980308160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056691320261748E-2"/>
                  <c:y val="8.73278664001196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98-44FC-9203-CEF07C36F475}"/>
                </c:ext>
                <c:ext xmlns:c15="http://schemas.microsoft.com/office/drawing/2012/chart" uri="{CE6537A1-D6FC-4f65-9D91-7224C49458BB}"/>
              </c:extLst>
            </c:dLbl>
            <c:dLbl>
              <c:idx val="3"/>
              <c:layout>
                <c:manualLayout>
                  <c:x val="-3.0010156165987598E-2"/>
                  <c:y val="7.28671204235062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98-44FC-9203-CEF07C36F475}"/>
                </c:ext>
                <c:ext xmlns:c15="http://schemas.microsoft.com/office/drawing/2012/chart" uri="{CE6537A1-D6FC-4f65-9D91-7224C49458BB}"/>
              </c:extLst>
            </c:dLbl>
            <c:dLbl>
              <c:idx val="4"/>
              <c:layout>
                <c:manualLayout>
                  <c:x val="-4.2559513141282229E-2"/>
                  <c:y val="5.59179678811335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98-44FC-9203-CEF07C36F475}"/>
                </c:ext>
                <c:ext xmlns:c15="http://schemas.microsoft.com/office/drawing/2012/chart" uri="{CE6537A1-D6FC-4f65-9D91-7224C49458BB}"/>
              </c:extLst>
            </c:dLbl>
            <c:dLbl>
              <c:idx val="5"/>
              <c:layout>
                <c:manualLayout>
                  <c:x val="-4.417302920594713E-2"/>
                  <c:y val="-1.29662053112926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98-44FC-9203-CEF07C36F475}"/>
                </c:ext>
                <c:ext xmlns:c15="http://schemas.microsoft.com/office/drawing/2012/chart" uri="{CE6537A1-D6FC-4f65-9D91-7224C49458BB}"/>
              </c:extLst>
            </c:dLbl>
            <c:dLbl>
              <c:idx val="6"/>
              <c:layout>
                <c:manualLayout>
                  <c:x val="-2.2326837369911461E-2"/>
                  <c:y val="-4.57769473731037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98-44FC-9203-CEF07C36F475}"/>
                </c:ext>
                <c:ext xmlns:c15="http://schemas.microsoft.com/office/drawing/2012/chart" uri="{CE6537A1-D6FC-4f65-9D91-7224C49458BB}"/>
              </c:extLst>
            </c:dLbl>
            <c:dLbl>
              <c:idx val="7"/>
              <c:layout>
                <c:manualLayout>
                  <c:x val="-2.4350104947048538E-2"/>
                  <c:y val="-5.142666488722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798-44FC-9203-CEF07C36F475}"/>
                </c:ext>
                <c:ext xmlns:c15="http://schemas.microsoft.com/office/drawing/2012/chart" uri="{CE6537A1-D6FC-4f65-9D91-7224C49458BB}"/>
              </c:extLst>
            </c:dLbl>
            <c:dLbl>
              <c:idx val="8"/>
              <c:layout>
                <c:manualLayout>
                  <c:x val="-2.4081982164975965E-2"/>
                  <c:y val="-3.44775123448551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798-44FC-9203-CEF07C36F475}"/>
                </c:ext>
                <c:ext xmlns:c15="http://schemas.microsoft.com/office/drawing/2012/chart" uri="{CE6537A1-D6FC-4f65-9D91-7224C49458BB}"/>
              </c:extLst>
            </c:dLbl>
            <c:dLbl>
              <c:idx val="9"/>
              <c:layout>
                <c:manualLayout>
                  <c:x val="-2.0941615985406985E-3"/>
                  <c:y val="-2.8827794830730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798-44FC-9203-CEF07C36F475}"/>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3.1</c:v>
                </c:pt>
                <c:pt idx="1">
                  <c:v>1.5</c:v>
                </c:pt>
                <c:pt idx="2">
                  <c:v>2.8</c:v>
                </c:pt>
                <c:pt idx="3">
                  <c:v>3</c:v>
                </c:pt>
                <c:pt idx="4">
                  <c:v>2.4</c:v>
                </c:pt>
                <c:pt idx="5">
                  <c:v>0</c:v>
                </c:pt>
                <c:pt idx="6">
                  <c:v>0.9</c:v>
                </c:pt>
                <c:pt idx="7">
                  <c:v>0.5</c:v>
                </c:pt>
                <c:pt idx="8">
                  <c:v>0.5</c:v>
                </c:pt>
                <c:pt idx="9">
                  <c:v>0.5</c:v>
                </c:pt>
                <c:pt idx="10">
                  <c:v>1.1000000000000001</c:v>
                </c:pt>
              </c:numCache>
            </c:numRef>
          </c:val>
          <c:smooth val="0"/>
          <c:extLst xmlns:c16r2="http://schemas.microsoft.com/office/drawing/2015/06/chart">
            <c:ext xmlns:c16="http://schemas.microsoft.com/office/drawing/2014/chart" uri="{C3380CC4-5D6E-409C-BE32-E72D297353CC}">
              <c16:uniqueId val="{00000009-4798-44FC-9203-CEF07C36F475}"/>
            </c:ext>
          </c:extLst>
        </c:ser>
        <c:ser>
          <c:idx val="1"/>
          <c:order val="1"/>
          <c:tx>
            <c:strRef>
              <c:f>Sheet1!$C$1</c:f>
              <c:strCache>
                <c:ptCount val="1"/>
                <c:pt idx="0">
                  <c:v>Risc direct</c:v>
                </c:pt>
              </c:strCache>
            </c:strRef>
          </c:tx>
          <c:dLbls>
            <c:dLbl>
              <c:idx val="6"/>
              <c:layout>
                <c:manualLayout>
                  <c:x val="-3.2033423743124671E-2"/>
                  <c:y val="-4.90674935063168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2033423743124671E-2"/>
                  <c:y val="-5.7076382401352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798-44FC-9203-CEF07C36F475}"/>
                </c:ext>
                <c:ext xmlns:c15="http://schemas.microsoft.com/office/drawing/2012/chart" uri="{CE6537A1-D6FC-4f65-9D91-7224C49458BB}"/>
              </c:extLst>
            </c:dLbl>
            <c:dLbl>
              <c:idx val="8"/>
              <c:layout>
                <c:manualLayout>
                  <c:x val="-2.2999454355003803E-2"/>
                  <c:y val="-9.4721553588184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798-44FC-9203-CEF07C36F475}"/>
                </c:ext>
                <c:ext xmlns:c15="http://schemas.microsoft.com/office/drawing/2012/chart" uri="{CE6537A1-D6FC-4f65-9D91-7224C49458BB}"/>
              </c:extLst>
            </c:dLbl>
            <c:dLbl>
              <c:idx val="9"/>
              <c:layout>
                <c:manualLayout>
                  <c:x val="-3.7162327394963335E-2"/>
                  <c:y val="-9.09746874860982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798-44FC-9203-CEF07C36F475}"/>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pt idx="0">
                  <c:v>11.7</c:v>
                </c:pt>
                <c:pt idx="1">
                  <c:v>5.5</c:v>
                </c:pt>
                <c:pt idx="2">
                  <c:v>6.5</c:v>
                </c:pt>
                <c:pt idx="3">
                  <c:v>5.4</c:v>
                </c:pt>
                <c:pt idx="4">
                  <c:v>6.3</c:v>
                </c:pt>
                <c:pt idx="5">
                  <c:v>4.8</c:v>
                </c:pt>
                <c:pt idx="6">
                  <c:v>4.2</c:v>
                </c:pt>
                <c:pt idx="7">
                  <c:v>4.7</c:v>
                </c:pt>
                <c:pt idx="8">
                  <c:v>5.6</c:v>
                </c:pt>
                <c:pt idx="9">
                  <c:v>5.9</c:v>
                </c:pt>
                <c:pt idx="10">
                  <c:v>7.7</c:v>
                </c:pt>
              </c:numCache>
            </c:numRef>
          </c:val>
          <c:smooth val="0"/>
          <c:extLst xmlns:c16r2="http://schemas.microsoft.com/office/drawing/2015/06/chart">
            <c:ext xmlns:c16="http://schemas.microsoft.com/office/drawing/2014/chart" uri="{C3380CC4-5D6E-409C-BE32-E72D297353CC}">
              <c16:uniqueId val="{0000000D-4798-44FC-9203-CEF07C36F475}"/>
            </c:ext>
          </c:extLst>
        </c:ser>
        <c:ser>
          <c:idx val="2"/>
          <c:order val="2"/>
          <c:tx>
            <c:strRef>
              <c:f>Sheet1!$D$1</c:f>
              <c:strCache>
                <c:ptCount val="1"/>
                <c:pt idx="0">
                  <c:v>Risc indirect </c:v>
                </c:pt>
              </c:strCache>
            </c:strRef>
          </c:tx>
          <c:dLbls>
            <c:dLbl>
              <c:idx val="0"/>
              <c:layout>
                <c:manualLayout>
                  <c:x val="-4.6196296783084206E-2"/>
                  <c:y val="6.72465423687324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798-44FC-9203-CEF07C36F475}"/>
                </c:ext>
                <c:ext xmlns:c15="http://schemas.microsoft.com/office/drawing/2012/chart" uri="{CE6537A1-D6FC-4f65-9D91-7224C49458BB}"/>
              </c:extLst>
            </c:dLbl>
            <c:dLbl>
              <c:idx val="1"/>
              <c:layout>
                <c:manualLayout>
                  <c:x val="-5.3348468012059946E-2"/>
                  <c:y val="2.38641154311669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986888588850522E-2"/>
                  <c:y val="-2.88572477663090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798-44FC-9203-CEF07C36F475}"/>
                </c:ext>
                <c:ext xmlns:c15="http://schemas.microsoft.com/office/drawing/2012/chart" uri="{CE6537A1-D6FC-4f65-9D91-7224C49458BB}"/>
              </c:extLst>
            </c:dLbl>
            <c:dLbl>
              <c:idx val="3"/>
              <c:layout>
                <c:manualLayout>
                  <c:x val="-3.2033423743124671E-2"/>
                  <c:y val="-4.90674935063168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6079958897398824E-2"/>
                  <c:y val="-2.8827794830730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798-44FC-9203-CEF07C36F475}"/>
                </c:ext>
                <c:ext xmlns:c15="http://schemas.microsoft.com/office/drawing/2012/chart" uri="{CE6537A1-D6FC-4f65-9D91-7224C49458BB}"/>
              </c:extLst>
            </c:dLbl>
            <c:dLbl>
              <c:idx val="5"/>
              <c:layout>
                <c:manualLayout>
                  <c:x val="-3.2033423743124671E-2"/>
                  <c:y val="-5.142666488722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798-44FC-9203-CEF07C36F475}"/>
                </c:ext>
                <c:ext xmlns:c15="http://schemas.microsoft.com/office/drawing/2012/chart" uri="{CE6537A1-D6FC-4f65-9D91-7224C49458BB}"/>
              </c:extLst>
            </c:dLbl>
            <c:dLbl>
              <c:idx val="6"/>
              <c:layout>
                <c:manualLayout>
                  <c:x val="-2.1917085857439293E-2"/>
                  <c:y val="-4.82945072280472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798-44FC-9203-CEF07C36F475}"/>
                </c:ext>
                <c:ext xmlns:c15="http://schemas.microsoft.com/office/drawing/2012/chart" uri="{CE6537A1-D6FC-4f65-9D91-7224C49458BB}"/>
              </c:extLst>
            </c:dLbl>
            <c:dLbl>
              <c:idx val="7"/>
              <c:layout>
                <c:manualLayout>
                  <c:x val="-2.5963621011713445E-2"/>
                  <c:y val="-2.83421049052806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1208862549237488E-2"/>
                  <c:y val="-3.1960072348469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798-44FC-9203-CEF07C36F475}"/>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pt idx="0">
                  <c:v>10.7</c:v>
                </c:pt>
                <c:pt idx="1">
                  <c:v>4.5</c:v>
                </c:pt>
                <c:pt idx="2">
                  <c:v>3.3</c:v>
                </c:pt>
                <c:pt idx="3">
                  <c:v>3.5</c:v>
                </c:pt>
                <c:pt idx="4">
                  <c:v>4.4000000000000004</c:v>
                </c:pt>
                <c:pt idx="5">
                  <c:v>3.3</c:v>
                </c:pt>
                <c:pt idx="6">
                  <c:v>6</c:v>
                </c:pt>
                <c:pt idx="7">
                  <c:v>3.3</c:v>
                </c:pt>
                <c:pt idx="8">
                  <c:v>3.2</c:v>
                </c:pt>
                <c:pt idx="9">
                  <c:v>9.4</c:v>
                </c:pt>
                <c:pt idx="10">
                  <c:v>19.399999999999999</c:v>
                </c:pt>
              </c:numCache>
            </c:numRef>
          </c:val>
          <c:smooth val="0"/>
          <c:extLst xmlns:c16r2="http://schemas.microsoft.com/office/drawing/2015/06/chart">
            <c:ext xmlns:c16="http://schemas.microsoft.com/office/drawing/2014/chart" uri="{C3380CC4-5D6E-409C-BE32-E72D297353CC}">
              <c16:uniqueId val="{00000015-4798-44FC-9203-CEF07C36F475}"/>
            </c:ext>
          </c:extLst>
        </c:ser>
        <c:dLbls>
          <c:dLblPos val="t"/>
          <c:showLegendKey val="0"/>
          <c:showVal val="1"/>
          <c:showCatName val="0"/>
          <c:showSerName val="0"/>
          <c:showPercent val="0"/>
          <c:showBubbleSize val="0"/>
        </c:dLbls>
        <c:marker val="1"/>
        <c:smooth val="0"/>
        <c:axId val="-805873248"/>
        <c:axId val="-805896640"/>
      </c:lineChart>
      <c:catAx>
        <c:axId val="-8058732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05896640"/>
        <c:crosses val="autoZero"/>
        <c:auto val="1"/>
        <c:lblAlgn val="ctr"/>
        <c:lblOffset val="100"/>
        <c:noMultiLvlLbl val="0"/>
      </c:catAx>
      <c:valAx>
        <c:axId val="-805896640"/>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0587324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5.4764972560248149E-2"/>
          <c:y val="6.9182389937106917E-2"/>
          <c:w val="0.92137859816703238"/>
          <c:h val="0.61758084484722431"/>
        </c:manualLayout>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Sheet1!$A$2:$A$27</c:f>
              <c:strCache>
                <c:ptCount val="26"/>
                <c:pt idx="0">
                  <c:v>Mehedinți</c:v>
                </c:pt>
                <c:pt idx="1">
                  <c:v>Maramureș</c:v>
                </c:pt>
                <c:pt idx="2">
                  <c:v>Ialomița</c:v>
                </c:pt>
                <c:pt idx="3">
                  <c:v>Ilfov</c:v>
                </c:pt>
                <c:pt idx="4">
                  <c:v>Bihor</c:v>
                </c:pt>
                <c:pt idx="5">
                  <c:v>Argeș</c:v>
                </c:pt>
                <c:pt idx="6">
                  <c:v>Suceava</c:v>
                </c:pt>
                <c:pt idx="7">
                  <c:v>Caraș-Severin</c:v>
                </c:pt>
                <c:pt idx="8">
                  <c:v>Sibiu</c:v>
                </c:pt>
                <c:pt idx="9">
                  <c:v>Giurgiu</c:v>
                </c:pt>
                <c:pt idx="10">
                  <c:v>București</c:v>
                </c:pt>
                <c:pt idx="11">
                  <c:v>Vâlcea</c:v>
                </c:pt>
                <c:pt idx="12">
                  <c:v>Satu-Mare</c:v>
                </c:pt>
                <c:pt idx="13">
                  <c:v>Hunedoara</c:v>
                </c:pt>
                <c:pt idx="14">
                  <c:v>Olt</c:v>
                </c:pt>
                <c:pt idx="15">
                  <c:v>Buzău</c:v>
                </c:pt>
                <c:pt idx="16">
                  <c:v>Botoșani</c:v>
                </c:pt>
                <c:pt idx="17">
                  <c:v>Neamț</c:v>
                </c:pt>
                <c:pt idx="18">
                  <c:v>Dămbovița</c:v>
                </c:pt>
                <c:pt idx="19">
                  <c:v>Mureș</c:v>
                </c:pt>
                <c:pt idx="20">
                  <c:v>Dolj</c:v>
                </c:pt>
                <c:pt idx="21">
                  <c:v>Bacău</c:v>
                </c:pt>
                <c:pt idx="22">
                  <c:v>Prahova</c:v>
                </c:pt>
                <c:pt idx="23">
                  <c:v>Constanța</c:v>
                </c:pt>
                <c:pt idx="24">
                  <c:v>Timiș</c:v>
                </c:pt>
                <c:pt idx="25">
                  <c:v>Iași</c:v>
                </c:pt>
              </c:strCache>
            </c:strRef>
          </c:cat>
          <c:val>
            <c:numRef>
              <c:f>Sheet1!$B$2:$B$27</c:f>
              <c:numCache>
                <c:formatCode>General</c:formatCode>
                <c:ptCount val="26"/>
                <c:pt idx="0">
                  <c:v>104.7</c:v>
                </c:pt>
                <c:pt idx="1">
                  <c:v>94</c:v>
                </c:pt>
                <c:pt idx="2">
                  <c:v>87.5</c:v>
                </c:pt>
                <c:pt idx="3">
                  <c:v>84.9</c:v>
                </c:pt>
                <c:pt idx="4">
                  <c:v>70.900000000000006</c:v>
                </c:pt>
                <c:pt idx="5">
                  <c:v>63.8</c:v>
                </c:pt>
                <c:pt idx="6">
                  <c:v>61.9</c:v>
                </c:pt>
                <c:pt idx="7">
                  <c:v>52.2</c:v>
                </c:pt>
                <c:pt idx="8">
                  <c:v>51.5</c:v>
                </c:pt>
                <c:pt idx="9">
                  <c:v>44.9</c:v>
                </c:pt>
                <c:pt idx="10">
                  <c:v>42.1</c:v>
                </c:pt>
                <c:pt idx="11">
                  <c:v>40.4</c:v>
                </c:pt>
                <c:pt idx="12">
                  <c:v>34.700000000000003</c:v>
                </c:pt>
                <c:pt idx="13">
                  <c:v>34.1</c:v>
                </c:pt>
                <c:pt idx="14">
                  <c:v>34</c:v>
                </c:pt>
                <c:pt idx="15">
                  <c:v>30.6</c:v>
                </c:pt>
                <c:pt idx="16">
                  <c:v>27</c:v>
                </c:pt>
                <c:pt idx="17">
                  <c:v>25.8</c:v>
                </c:pt>
                <c:pt idx="18">
                  <c:v>23.4</c:v>
                </c:pt>
                <c:pt idx="19">
                  <c:v>19.2</c:v>
                </c:pt>
                <c:pt idx="20">
                  <c:v>19</c:v>
                </c:pt>
                <c:pt idx="21">
                  <c:v>17.7</c:v>
                </c:pt>
                <c:pt idx="22">
                  <c:v>17.600000000000001</c:v>
                </c:pt>
                <c:pt idx="23">
                  <c:v>16.3</c:v>
                </c:pt>
                <c:pt idx="24">
                  <c:v>15</c:v>
                </c:pt>
                <c:pt idx="25">
                  <c:v>11</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Sheet1!$A$2:$A$27</c:f>
              <c:strCache>
                <c:ptCount val="26"/>
                <c:pt idx="0">
                  <c:v>Mehedinți</c:v>
                </c:pt>
                <c:pt idx="1">
                  <c:v>Maramureș</c:v>
                </c:pt>
                <c:pt idx="2">
                  <c:v>Ialomița</c:v>
                </c:pt>
                <c:pt idx="3">
                  <c:v>Ilfov</c:v>
                </c:pt>
                <c:pt idx="4">
                  <c:v>Bihor</c:v>
                </c:pt>
                <c:pt idx="5">
                  <c:v>Argeș</c:v>
                </c:pt>
                <c:pt idx="6">
                  <c:v>Suceava</c:v>
                </c:pt>
                <c:pt idx="7">
                  <c:v>Caraș-Severin</c:v>
                </c:pt>
                <c:pt idx="8">
                  <c:v>Sibiu</c:v>
                </c:pt>
                <c:pt idx="9">
                  <c:v>Giurgiu</c:v>
                </c:pt>
                <c:pt idx="10">
                  <c:v>București</c:v>
                </c:pt>
                <c:pt idx="11">
                  <c:v>Vâlcea</c:v>
                </c:pt>
                <c:pt idx="12">
                  <c:v>Satu-Mare</c:v>
                </c:pt>
                <c:pt idx="13">
                  <c:v>Hunedoara</c:v>
                </c:pt>
                <c:pt idx="14">
                  <c:v>Olt</c:v>
                </c:pt>
                <c:pt idx="15">
                  <c:v>Buzău</c:v>
                </c:pt>
                <c:pt idx="16">
                  <c:v>Botoșani</c:v>
                </c:pt>
                <c:pt idx="17">
                  <c:v>Neamț</c:v>
                </c:pt>
                <c:pt idx="18">
                  <c:v>Dămbovița</c:v>
                </c:pt>
                <c:pt idx="19">
                  <c:v>Mureș</c:v>
                </c:pt>
                <c:pt idx="20">
                  <c:v>Dolj</c:v>
                </c:pt>
                <c:pt idx="21">
                  <c:v>Bacău</c:v>
                </c:pt>
                <c:pt idx="22">
                  <c:v>Prahova</c:v>
                </c:pt>
                <c:pt idx="23">
                  <c:v>Constanța</c:v>
                </c:pt>
                <c:pt idx="24">
                  <c:v>Timiș</c:v>
                </c:pt>
                <c:pt idx="25">
                  <c:v>Iași</c:v>
                </c:pt>
              </c:strCache>
            </c:strRef>
          </c:cat>
          <c:val>
            <c:numRef>
              <c:f>Sheet1!$C$2:$C$27</c:f>
              <c:numCache>
                <c:formatCode>General</c:formatCode>
                <c:ptCount val="26"/>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Sheet1!$A$2:$A$27</c:f>
              <c:strCache>
                <c:ptCount val="26"/>
                <c:pt idx="0">
                  <c:v>Mehedinți</c:v>
                </c:pt>
                <c:pt idx="1">
                  <c:v>Maramureș</c:v>
                </c:pt>
                <c:pt idx="2">
                  <c:v>Ialomița</c:v>
                </c:pt>
                <c:pt idx="3">
                  <c:v>Ilfov</c:v>
                </c:pt>
                <c:pt idx="4">
                  <c:v>Bihor</c:v>
                </c:pt>
                <c:pt idx="5">
                  <c:v>Argeș</c:v>
                </c:pt>
                <c:pt idx="6">
                  <c:v>Suceava</c:v>
                </c:pt>
                <c:pt idx="7">
                  <c:v>Caraș-Severin</c:v>
                </c:pt>
                <c:pt idx="8">
                  <c:v>Sibiu</c:v>
                </c:pt>
                <c:pt idx="9">
                  <c:v>Giurgiu</c:v>
                </c:pt>
                <c:pt idx="10">
                  <c:v>București</c:v>
                </c:pt>
                <c:pt idx="11">
                  <c:v>Vâlcea</c:v>
                </c:pt>
                <c:pt idx="12">
                  <c:v>Satu-Mare</c:v>
                </c:pt>
                <c:pt idx="13">
                  <c:v>Hunedoara</c:v>
                </c:pt>
                <c:pt idx="14">
                  <c:v>Olt</c:v>
                </c:pt>
                <c:pt idx="15">
                  <c:v>Buzău</c:v>
                </c:pt>
                <c:pt idx="16">
                  <c:v>Botoșani</c:v>
                </c:pt>
                <c:pt idx="17">
                  <c:v>Neamț</c:v>
                </c:pt>
                <c:pt idx="18">
                  <c:v>Dămbovița</c:v>
                </c:pt>
                <c:pt idx="19">
                  <c:v>Mureș</c:v>
                </c:pt>
                <c:pt idx="20">
                  <c:v>Dolj</c:v>
                </c:pt>
                <c:pt idx="21">
                  <c:v>Bacău</c:v>
                </c:pt>
                <c:pt idx="22">
                  <c:v>Prahova</c:v>
                </c:pt>
                <c:pt idx="23">
                  <c:v>Constanța</c:v>
                </c:pt>
                <c:pt idx="24">
                  <c:v>Timiș</c:v>
                </c:pt>
                <c:pt idx="25">
                  <c:v>Iași</c:v>
                </c:pt>
              </c:strCache>
            </c:strRef>
          </c:cat>
          <c:val>
            <c:numRef>
              <c:f>Sheet1!$D$2:$D$27</c:f>
              <c:numCache>
                <c:formatCode>General</c:formatCode>
                <c:ptCount val="26"/>
              </c:numCache>
            </c:numRef>
          </c:val>
        </c:ser>
        <c:dLbls>
          <c:dLblPos val="outEnd"/>
          <c:showLegendKey val="0"/>
          <c:showVal val="1"/>
          <c:showCatName val="0"/>
          <c:showSerName val="0"/>
          <c:showPercent val="0"/>
          <c:showBubbleSize val="0"/>
        </c:dLbls>
        <c:gapWidth val="0"/>
        <c:axId val="-805891744"/>
        <c:axId val="-805900992"/>
      </c:barChart>
      <c:catAx>
        <c:axId val="-805891744"/>
        <c:scaling>
          <c:orientation val="minMax"/>
        </c:scaling>
        <c:delete val="0"/>
        <c:axPos val="b"/>
        <c:numFmt formatCode="General" sourceLinked="0"/>
        <c:majorTickMark val="none"/>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en-US"/>
          </a:p>
        </c:txPr>
        <c:crossAx val="-805900992"/>
        <c:crosses val="autoZero"/>
        <c:auto val="1"/>
        <c:lblAlgn val="ctr"/>
        <c:lblOffset val="100"/>
        <c:noMultiLvlLbl val="0"/>
      </c:catAx>
      <c:valAx>
        <c:axId val="-805900992"/>
        <c:scaling>
          <c:orientation val="minMax"/>
        </c:scaling>
        <c:delete val="0"/>
        <c:axPos val="l"/>
        <c:numFmt formatCode="General" sourceLinked="1"/>
        <c:majorTickMark val="out"/>
        <c:minorTickMark val="none"/>
        <c:tickLblPos val="nextTo"/>
        <c:txPr>
          <a:bodyPr/>
          <a:lstStyle/>
          <a:p>
            <a:pPr>
              <a:defRPr sz="500"/>
            </a:pPr>
            <a:endParaRPr lang="en-US"/>
          </a:p>
        </c:txPr>
        <c:crossAx val="-80589174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Total</c:v>
                </c:pt>
              </c:strCache>
            </c:strRef>
          </c:tx>
          <c:invertIfNegative val="0"/>
          <c:dPt>
            <c:idx val="0"/>
            <c:invertIfNegative val="0"/>
            <c:bubble3D val="0"/>
            <c:spPr>
              <a:solidFill>
                <a:schemeClr val="tx2">
                  <a:lumMod val="60000"/>
                  <a:lumOff val="40000"/>
                </a:schemeClr>
              </a:solidFill>
            </c:spPr>
          </c:dPt>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25.5</c:v>
                </c:pt>
                <c:pt idx="1">
                  <c:v>11</c:v>
                </c:pt>
                <c:pt idx="2">
                  <c:v>12.5</c:v>
                </c:pt>
                <c:pt idx="3">
                  <c:v>12</c:v>
                </c:pt>
                <c:pt idx="4">
                  <c:v>13</c:v>
                </c:pt>
                <c:pt idx="5">
                  <c:v>8</c:v>
                </c:pt>
                <c:pt idx="6">
                  <c:v>11</c:v>
                </c:pt>
                <c:pt idx="7">
                  <c:v>8.4</c:v>
                </c:pt>
                <c:pt idx="8">
                  <c:v>9.3000000000000007</c:v>
                </c:pt>
                <c:pt idx="9">
                  <c:v>10.7</c:v>
                </c:pt>
                <c:pt idx="10">
                  <c:v>28.21</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Column2</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805876512"/>
        <c:axId val="-805875424"/>
      </c:barChart>
      <c:catAx>
        <c:axId val="-805876512"/>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875424"/>
        <c:crosses val="autoZero"/>
        <c:auto val="1"/>
        <c:lblAlgn val="ctr"/>
        <c:lblOffset val="100"/>
        <c:noMultiLvlLbl val="0"/>
      </c:catAx>
      <c:valAx>
        <c:axId val="-805875424"/>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87651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Mortalitatea materna</c:v>
                </c:pt>
              </c:strCache>
            </c:strRef>
          </c:tx>
          <c:invertIfNegative val="0"/>
          <c:dLbls>
            <c:spPr>
              <a:noFill/>
              <a:ln>
                <a:noFill/>
              </a:ln>
              <a:effectLst/>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26</c:v>
                </c:pt>
                <c:pt idx="1">
                  <c:v>11</c:v>
                </c:pt>
                <c:pt idx="2">
                  <c:v>13</c:v>
                </c:pt>
                <c:pt idx="3">
                  <c:v>12</c:v>
                </c:pt>
                <c:pt idx="4">
                  <c:v>13</c:v>
                </c:pt>
                <c:pt idx="5">
                  <c:v>11</c:v>
                </c:pt>
                <c:pt idx="6">
                  <c:v>8</c:v>
                </c:pt>
                <c:pt idx="7">
                  <c:v>8</c:v>
                </c:pt>
                <c:pt idx="8">
                  <c:v>1</c:v>
                </c:pt>
                <c:pt idx="9">
                  <c:v>18</c:v>
                </c:pt>
                <c:pt idx="10">
                  <c:v>28.21</c:v>
                </c:pt>
              </c:numCache>
            </c:numRef>
          </c:val>
        </c:ser>
        <c:ser>
          <c:idx val="1"/>
          <c:order val="1"/>
          <c:tx>
            <c:strRef>
              <c:f>Sheet1!$C$1</c:f>
              <c:strCache>
                <c:ptCount val="1"/>
                <c:pt idx="0">
                  <c:v>Mortalitate risc obst.direct</c:v>
                </c:pt>
              </c:strCache>
            </c:strRef>
          </c:tx>
          <c:invertIfNegative val="0"/>
          <c:dLbls>
            <c:spPr>
              <a:noFill/>
              <a:ln>
                <a:noFill/>
              </a:ln>
              <a:effectLst/>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pt idx="0">
                  <c:v>11.7</c:v>
                </c:pt>
                <c:pt idx="1">
                  <c:v>6</c:v>
                </c:pt>
                <c:pt idx="2">
                  <c:v>7</c:v>
                </c:pt>
                <c:pt idx="3">
                  <c:v>5</c:v>
                </c:pt>
                <c:pt idx="4">
                  <c:v>6</c:v>
                </c:pt>
                <c:pt idx="5">
                  <c:v>5</c:v>
                </c:pt>
                <c:pt idx="6">
                  <c:v>4.2</c:v>
                </c:pt>
                <c:pt idx="7">
                  <c:v>5</c:v>
                </c:pt>
                <c:pt idx="8">
                  <c:v>6</c:v>
                </c:pt>
                <c:pt idx="9">
                  <c:v>5.9</c:v>
                </c:pt>
                <c:pt idx="10">
                  <c:v>7.7</c:v>
                </c:pt>
              </c:numCache>
            </c:numRef>
          </c:val>
        </c:ser>
        <c:ser>
          <c:idx val="2"/>
          <c:order val="2"/>
          <c:tx>
            <c:strRef>
              <c:f>Sheet1!$D$1</c:f>
              <c:strCache>
                <c:ptCount val="1"/>
                <c:pt idx="0">
                  <c:v>Mortalitate risc obst. indirect</c:v>
                </c:pt>
              </c:strCache>
            </c:strRef>
          </c:tx>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pt idx="0">
                  <c:v>10.7</c:v>
                </c:pt>
                <c:pt idx="1">
                  <c:v>5</c:v>
                </c:pt>
                <c:pt idx="2">
                  <c:v>3</c:v>
                </c:pt>
                <c:pt idx="3">
                  <c:v>4</c:v>
                </c:pt>
                <c:pt idx="4">
                  <c:v>4</c:v>
                </c:pt>
                <c:pt idx="5">
                  <c:v>6</c:v>
                </c:pt>
                <c:pt idx="6">
                  <c:v>3</c:v>
                </c:pt>
                <c:pt idx="7">
                  <c:v>3</c:v>
                </c:pt>
                <c:pt idx="8">
                  <c:v>3</c:v>
                </c:pt>
                <c:pt idx="9">
                  <c:v>9.4</c:v>
                </c:pt>
                <c:pt idx="10">
                  <c:v>19.399999999999999</c:v>
                </c:pt>
              </c:numCache>
            </c:numRef>
          </c:val>
        </c:ser>
        <c:ser>
          <c:idx val="3"/>
          <c:order val="3"/>
          <c:tx>
            <c:strRef>
              <c:f>Sheet1!$E$1</c:f>
              <c:strCache>
                <c:ptCount val="1"/>
                <c:pt idx="0">
                  <c:v>Mortalitate avort</c:v>
                </c:pt>
              </c:strCache>
            </c:strRef>
          </c:tx>
          <c:invertIfNegative val="0"/>
          <c:dLbls>
            <c:spPr>
              <a:noFill/>
              <a:ln>
                <a:noFill/>
              </a:ln>
              <a:effectLst/>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Sheet1!$E$2:$E$12</c:f>
              <c:numCache>
                <c:formatCode>General</c:formatCode>
                <c:ptCount val="11"/>
                <c:pt idx="0">
                  <c:v>3</c:v>
                </c:pt>
                <c:pt idx="1">
                  <c:v>2</c:v>
                </c:pt>
                <c:pt idx="2">
                  <c:v>3</c:v>
                </c:pt>
                <c:pt idx="3">
                  <c:v>3</c:v>
                </c:pt>
                <c:pt idx="4">
                  <c:v>2</c:v>
                </c:pt>
                <c:pt idx="5">
                  <c:v>1</c:v>
                </c:pt>
                <c:pt idx="6">
                  <c:v>0.9</c:v>
                </c:pt>
                <c:pt idx="7">
                  <c:v>0.5</c:v>
                </c:pt>
                <c:pt idx="8">
                  <c:v>0.5</c:v>
                </c:pt>
                <c:pt idx="9">
                  <c:v>0.5</c:v>
                </c:pt>
                <c:pt idx="10">
                  <c:v>1.1000000000000001</c:v>
                </c:pt>
              </c:numCache>
            </c:numRef>
          </c:val>
        </c:ser>
        <c:dLbls>
          <c:dLblPos val="outEnd"/>
          <c:showLegendKey val="0"/>
          <c:showVal val="1"/>
          <c:showCatName val="0"/>
          <c:showSerName val="0"/>
          <c:showPercent val="0"/>
          <c:showBubbleSize val="0"/>
        </c:dLbls>
        <c:gapWidth val="75"/>
        <c:overlap val="-25"/>
        <c:axId val="-805903168"/>
        <c:axId val="-805893920"/>
      </c:barChart>
      <c:catAx>
        <c:axId val="-805903168"/>
        <c:scaling>
          <c:orientation val="minMax"/>
        </c:scaling>
        <c:delete val="0"/>
        <c:axPos val="b"/>
        <c:numFmt formatCode="General" sourceLinked="1"/>
        <c:majorTickMark val="none"/>
        <c:minorTickMark val="none"/>
        <c:tickLblPos val="nextTo"/>
        <c:crossAx val="-805893920"/>
        <c:crosses val="autoZero"/>
        <c:auto val="1"/>
        <c:lblAlgn val="ctr"/>
        <c:lblOffset val="100"/>
        <c:noMultiLvlLbl val="0"/>
      </c:catAx>
      <c:valAx>
        <c:axId val="-805893920"/>
        <c:scaling>
          <c:orientation val="minMax"/>
        </c:scaling>
        <c:delete val="0"/>
        <c:axPos val="l"/>
        <c:title>
          <c:tx>
            <c:rich>
              <a:bodyPr rot="-5400000" vert="horz"/>
              <a:lstStyle/>
              <a:p>
                <a:pPr>
                  <a:defRPr/>
                </a:pPr>
                <a:r>
                  <a:rPr lang="ro-RO"/>
                  <a:t>la 100000 născuți vii</a:t>
                </a:r>
                <a:endParaRPr lang="en-US"/>
              </a:p>
            </c:rich>
          </c:tx>
          <c:overlay val="0"/>
        </c:title>
        <c:numFmt formatCode="General" sourceLinked="1"/>
        <c:majorTickMark val="none"/>
        <c:minorTickMark val="none"/>
        <c:tickLblPos val="nextTo"/>
        <c:spPr>
          <a:ln w="9525">
            <a:noFill/>
          </a:ln>
        </c:spPr>
        <c:txPr>
          <a:bodyPr/>
          <a:lstStyle/>
          <a:p>
            <a:pPr>
              <a:defRPr sz="900"/>
            </a:pPr>
            <a:endParaRPr lang="en-US"/>
          </a:p>
        </c:txPr>
        <c:crossAx val="-805903168"/>
        <c:crosses val="autoZero"/>
        <c:crossBetween val="between"/>
      </c:valAx>
    </c:plotArea>
    <c:legend>
      <c:legendPos val="b"/>
      <c:layout>
        <c:manualLayout>
          <c:xMode val="edge"/>
          <c:yMode val="edge"/>
          <c:x val="4.9432596967045772E-2"/>
          <c:y val="0.84938582677165353"/>
          <c:w val="0.90807925051035288"/>
          <c:h val="0.12839195100612424"/>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9216467463479414E-2"/>
          <c:y val="0.16"/>
          <c:w val="0.7051328544091352"/>
          <c:h val="0.76666666666666672"/>
        </c:manualLayout>
      </c:layout>
      <c:pie3DChart>
        <c:varyColors val="1"/>
        <c:ser>
          <c:idx val="0"/>
          <c:order val="0"/>
          <c:tx>
            <c:strRef>
              <c:f>Sheet1!$B$1</c:f>
              <c:strCache>
                <c:ptCount val="1"/>
                <c:pt idx="0">
                  <c:v>Sales</c:v>
                </c:pt>
              </c:strCache>
            </c:strRef>
          </c:tx>
          <c:explosion val="25"/>
          <c:dPt>
            <c:idx val="0"/>
            <c:bubble3D val="0"/>
            <c:spPr>
              <a:solidFill>
                <a:srgbClr val="00B0F0"/>
              </a:solidFill>
            </c:spPr>
          </c:dPt>
          <c:dPt>
            <c:idx val="1"/>
            <c:bubble3D val="0"/>
            <c:spPr>
              <a:solidFill>
                <a:schemeClr val="accent1">
                  <a:lumMod val="75000"/>
                </a:schemeClr>
              </a:solidFill>
            </c:spPr>
          </c:dPt>
          <c:dLbls>
            <c:dLbl>
              <c:idx val="0"/>
              <c:layout>
                <c:manualLayout>
                  <c:x val="-9.062333343790193E-3"/>
                  <c:y val="-1.801417322834645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4191632420449437E-2"/>
                  <c:y val="-1.548871391076115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0271669228597421E-2"/>
                  <c:y val="-0.27190446194225715"/>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4972132467505306E-2"/>
                  <c:y val="-5.167979002624664E-3"/>
                </c:manualLayout>
              </c:layout>
              <c:tx>
                <c:rich>
                  <a:bodyPr/>
                  <a:lstStyle/>
                  <a:p>
                    <a:r>
                      <a:rPr lang="en-US"/>
                      <a:t>7.97%</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10-19 ani</c:v>
                </c:pt>
                <c:pt idx="1">
                  <c:v>20-29 ani</c:v>
                </c:pt>
                <c:pt idx="2">
                  <c:v>30-39 ani</c:v>
                </c:pt>
                <c:pt idx="3">
                  <c:v>40-49 ani</c:v>
                </c:pt>
              </c:strCache>
            </c:strRef>
          </c:cat>
          <c:val>
            <c:numRef>
              <c:f>Sheet1!$B$2:$B$5</c:f>
              <c:numCache>
                <c:formatCode>#,000%</c:formatCode>
                <c:ptCount val="4"/>
                <c:pt idx="0">
                  <c:v>2.9000000000000001E-2</c:v>
                </c:pt>
                <c:pt idx="1">
                  <c:v>0.27539999999999998</c:v>
                </c:pt>
                <c:pt idx="2">
                  <c:v>0.6159</c:v>
                </c:pt>
                <c:pt idx="3" formatCode="0%">
                  <c:v>7.9699999999999993E-2</c:v>
                </c:pt>
              </c:numCache>
            </c:numRef>
          </c:val>
        </c:ser>
        <c:dLbls>
          <c:dLblPos val="inEnd"/>
          <c:showLegendKey val="0"/>
          <c:showVal val="1"/>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9216467463479414E-2"/>
          <c:y val="0.16"/>
          <c:w val="0.7051328544091352"/>
          <c:h val="0.76666666666666672"/>
        </c:manualLayout>
      </c:layout>
      <c:pie3DChart>
        <c:varyColors val="1"/>
        <c:ser>
          <c:idx val="0"/>
          <c:order val="0"/>
          <c:tx>
            <c:strRef>
              <c:f>Sheet1!$B$1</c:f>
              <c:strCache>
                <c:ptCount val="1"/>
                <c:pt idx="0">
                  <c:v>Sales</c:v>
                </c:pt>
              </c:strCache>
            </c:strRef>
          </c:tx>
          <c:explosion val="25"/>
          <c:dPt>
            <c:idx val="0"/>
            <c:bubble3D val="0"/>
          </c:dPt>
          <c:dPt>
            <c:idx val="2"/>
            <c:bubble3D val="0"/>
            <c:spPr>
              <a:solidFill>
                <a:schemeClr val="tx2">
                  <a:lumMod val="75000"/>
                </a:schemeClr>
              </a:solidFill>
            </c:spPr>
          </c:dPt>
          <c:dLbls>
            <c:dLbl>
              <c:idx val="0"/>
              <c:layout>
                <c:manualLayout>
                  <c:x val="-9.062333343790193E-3"/>
                  <c:y val="-1.8014173228346451E-2"/>
                </c:manualLayout>
              </c:layout>
              <c:tx>
                <c:rich>
                  <a:bodyPr/>
                  <a:lstStyle/>
                  <a:p>
                    <a:r>
                      <a:rPr lang="en-US"/>
                      <a:t>5.67%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4191632420449437E-2"/>
                  <c:y val="-1.5488713910761155E-2"/>
                </c:manualLayout>
              </c:layout>
              <c:tx>
                <c:rich>
                  <a:bodyPr/>
                  <a:lstStyle/>
                  <a:p>
                    <a:r>
                      <a:rPr lang="en-US"/>
                      <a:t>17.02%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7537095711641622E-2"/>
                  <c:y val="1.1783846168165149E-2"/>
                </c:manualLayout>
              </c:layout>
              <c:tx>
                <c:rich>
                  <a:bodyPr/>
                  <a:lstStyle/>
                  <a:p>
                    <a:r>
                      <a:rPr lang="en-US"/>
                      <a:t>25.53%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4972132467505306E-2"/>
                  <c:y val="-5.167979002624664E-3"/>
                </c:manualLayout>
              </c:layout>
              <c:tx>
                <c:rich>
                  <a:bodyPr/>
                  <a:lstStyle/>
                  <a:p>
                    <a:r>
                      <a:rPr lang="en-US"/>
                      <a:t>24.11%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031558804153465E-2"/>
                  <c:y val="-8.3335008655832918E-2"/>
                </c:manualLayout>
              </c:layout>
              <c:tx>
                <c:rich>
                  <a:bodyPr/>
                  <a:lstStyle/>
                  <a:p>
                    <a:r>
                      <a:rPr lang="en-US"/>
                      <a:t>22%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2472315462559215E-2"/>
                  <c:y val="-1.9582658550659784E-3"/>
                </c:manualLayout>
              </c:layout>
              <c:tx>
                <c:rich>
                  <a:bodyPr/>
                  <a:lstStyle/>
                  <a:p>
                    <a:r>
                      <a:rPr lang="en-US"/>
                      <a:t>5.67%</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15-19 ani</c:v>
                </c:pt>
                <c:pt idx="1">
                  <c:v>20-24 ani</c:v>
                </c:pt>
                <c:pt idx="2">
                  <c:v>25-29 ani</c:v>
                </c:pt>
                <c:pt idx="3">
                  <c:v>30-34 ani</c:v>
                </c:pt>
                <c:pt idx="4">
                  <c:v>35-39 ani</c:v>
                </c:pt>
                <c:pt idx="5">
                  <c:v>40-44 ani</c:v>
                </c:pt>
              </c:strCache>
            </c:strRef>
          </c:cat>
          <c:val>
            <c:numRef>
              <c:f>Sheet1!$B$2:$B$7</c:f>
              <c:numCache>
                <c:formatCode>0\.00%</c:formatCode>
                <c:ptCount val="6"/>
                <c:pt idx="0">
                  <c:v>5.67E-2</c:v>
                </c:pt>
                <c:pt idx="1">
                  <c:v>0.17019999999999999</c:v>
                </c:pt>
                <c:pt idx="2">
                  <c:v>0.25530000000000003</c:v>
                </c:pt>
                <c:pt idx="3" formatCode="0%">
                  <c:v>0.24110000000000001</c:v>
                </c:pt>
                <c:pt idx="4">
                  <c:v>0.22</c:v>
                </c:pt>
                <c:pt idx="5">
                  <c:v>5.67E-2</c:v>
                </c:pt>
              </c:numCache>
            </c:numRef>
          </c:val>
        </c:ser>
        <c:dLbls>
          <c:dLblPos val="inEnd"/>
          <c:showLegendKey val="0"/>
          <c:showVal val="1"/>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9216467463479414E-2"/>
          <c:y val="0.16"/>
          <c:w val="0.7051328544091352"/>
          <c:h val="0.76666666666666672"/>
        </c:manualLayout>
      </c:layout>
      <c:pie3DChart>
        <c:varyColors val="1"/>
        <c:ser>
          <c:idx val="0"/>
          <c:order val="0"/>
          <c:tx>
            <c:strRef>
              <c:f>Sheet1!$B$1</c:f>
              <c:strCache>
                <c:ptCount val="1"/>
                <c:pt idx="0">
                  <c:v>Sales</c:v>
                </c:pt>
              </c:strCache>
            </c:strRef>
          </c:tx>
          <c:explosion val="25"/>
          <c:dPt>
            <c:idx val="0"/>
            <c:bubble3D val="0"/>
            <c:spPr>
              <a:solidFill>
                <a:srgbClr val="00B0F0"/>
              </a:solidFill>
            </c:spPr>
          </c:dPt>
          <c:dLbls>
            <c:dLbl>
              <c:idx val="0"/>
              <c:layout>
                <c:manualLayout>
                  <c:x val="-9.062333343790193E-3"/>
                  <c:y val="-1.8014173228346451E-2"/>
                </c:manualLayout>
              </c:layout>
              <c:tx>
                <c:rich>
                  <a:bodyPr/>
                  <a:lstStyle/>
                  <a:p>
                    <a:r>
                      <a:rPr lang="en-US"/>
                      <a:t>6.06%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4191632420449437E-2"/>
                  <c:y val="-1.5488713910761155E-2"/>
                </c:manualLayout>
              </c:layout>
              <c:tx>
                <c:rich>
                  <a:bodyPr/>
                  <a:lstStyle/>
                  <a:p>
                    <a:r>
                      <a:rPr lang="en-US"/>
                      <a:t>27.27%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0271669228597421E-2"/>
                  <c:y val="-0.27190446194225715"/>
                </c:manualLayout>
              </c:layout>
              <c:tx>
                <c:rich>
                  <a:bodyPr/>
                  <a:lstStyle/>
                  <a:p>
                    <a:r>
                      <a:rPr lang="en-US"/>
                      <a:t>54.55%</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02842174608652E-2"/>
                  <c:y val="-5.1681837642635099E-3"/>
                </c:manualLayout>
              </c:layout>
              <c:tx>
                <c:rich>
                  <a:bodyPr/>
                  <a:lstStyle/>
                  <a:p>
                    <a:r>
                      <a:rPr lang="en-US"/>
                      <a:t>12.12%</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10-19 ani</c:v>
                </c:pt>
                <c:pt idx="1">
                  <c:v>20-29 ani</c:v>
                </c:pt>
                <c:pt idx="2">
                  <c:v>30-39 ani</c:v>
                </c:pt>
                <c:pt idx="3">
                  <c:v>40-49 ani</c:v>
                </c:pt>
              </c:strCache>
            </c:strRef>
          </c:cat>
          <c:val>
            <c:numRef>
              <c:f>Sheet1!$B$2:$B$5</c:f>
              <c:numCache>
                <c:formatCode>#,000%</c:formatCode>
                <c:ptCount val="4"/>
                <c:pt idx="0">
                  <c:v>6.0600000000000001E-2</c:v>
                </c:pt>
                <c:pt idx="1">
                  <c:v>0.2727</c:v>
                </c:pt>
                <c:pt idx="2">
                  <c:v>0.55000000000000004</c:v>
                </c:pt>
                <c:pt idx="3" formatCode="0%">
                  <c:v>0.12</c:v>
                </c:pt>
              </c:numCache>
            </c:numRef>
          </c:val>
        </c:ser>
        <c:dLbls>
          <c:dLblPos val="inEnd"/>
          <c:showLegendKey val="0"/>
          <c:showVal val="1"/>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UE</c:v>
                </c:pt>
              </c:strCache>
            </c:strRef>
          </c:tx>
          <c:invertIfNegative val="0"/>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10.1</c:v>
                </c:pt>
                <c:pt idx="1">
                  <c:v>10</c:v>
                </c:pt>
                <c:pt idx="2">
                  <c:v>9.6999999999999993</c:v>
                </c:pt>
                <c:pt idx="3">
                  <c:v>9.8000000000000007</c:v>
                </c:pt>
                <c:pt idx="4">
                  <c:v>9.6999999999999993</c:v>
                </c:pt>
                <c:pt idx="5">
                  <c:v>9.8000000000000007</c:v>
                </c:pt>
                <c:pt idx="6">
                  <c:v>9.6999999999999993</c:v>
                </c:pt>
                <c:pt idx="7">
                  <c:v>9.5</c:v>
                </c:pt>
                <c:pt idx="8">
                  <c:v>9.3000000000000007</c:v>
                </c:pt>
                <c:pt idx="9">
                  <c:v>9.1</c:v>
                </c:pt>
                <c:pt idx="10">
                  <c:v>9.1</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România</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160473882606354E-3"/>
                  <c:y val="2.43902439024390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pt idx="0">
                  <c:v>9.6999999999999993</c:v>
                </c:pt>
                <c:pt idx="1">
                  <c:v>10</c:v>
                </c:pt>
                <c:pt idx="2">
                  <c:v>9.4</c:v>
                </c:pt>
                <c:pt idx="3">
                  <c:v>10</c:v>
                </c:pt>
                <c:pt idx="4">
                  <c:v>10.199999999999999</c:v>
                </c:pt>
                <c:pt idx="5">
                  <c:v>10.4</c:v>
                </c:pt>
                <c:pt idx="6">
                  <c:v>10.8</c:v>
                </c:pt>
                <c:pt idx="7">
                  <c:v>10.8</c:v>
                </c:pt>
                <c:pt idx="8">
                  <c:v>10.3</c:v>
                </c:pt>
                <c:pt idx="9">
                  <c:v>10.3</c:v>
                </c:pt>
                <c:pt idx="10">
                  <c:v>9.3000000000000007</c:v>
                </c:pt>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805895008"/>
        <c:axId val="-805883040"/>
      </c:barChart>
      <c:catAx>
        <c:axId val="-805895008"/>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883040"/>
        <c:crosses val="autoZero"/>
        <c:auto val="1"/>
        <c:lblAlgn val="ctr"/>
        <c:lblOffset val="100"/>
        <c:noMultiLvlLbl val="0"/>
      </c:catAx>
      <c:valAx>
        <c:axId val="-805883040"/>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895008"/>
        <c:crosses val="autoZero"/>
        <c:crossBetween val="between"/>
      </c:valAx>
    </c:plotArea>
    <c:legend>
      <c:legendPos val="b"/>
      <c:legendEntry>
        <c:idx val="2"/>
        <c:delete val="1"/>
      </c:legendEntry>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Sheet1!$A$2:$A$43</c:f>
              <c:strCache>
                <c:ptCount val="42"/>
                <c:pt idx="0">
                  <c:v>Tulcea</c:v>
                </c:pt>
                <c:pt idx="1">
                  <c:v>Suceava</c:v>
                </c:pt>
                <c:pt idx="2">
                  <c:v>Maramureș</c:v>
                </c:pt>
                <c:pt idx="3">
                  <c:v>Sălaj</c:v>
                </c:pt>
                <c:pt idx="4">
                  <c:v>Arad</c:v>
                </c:pt>
                <c:pt idx="5">
                  <c:v>Gorj</c:v>
                </c:pt>
                <c:pt idx="6">
                  <c:v>Olt</c:v>
                </c:pt>
                <c:pt idx="7">
                  <c:v>Satu-Mare</c:v>
                </c:pt>
                <c:pt idx="8">
                  <c:v>Dolj</c:v>
                </c:pt>
                <c:pt idx="9">
                  <c:v>Brăila</c:v>
                </c:pt>
                <c:pt idx="10">
                  <c:v>Bistrița-Năsăud</c:v>
                </c:pt>
                <c:pt idx="11">
                  <c:v>Ialomița</c:v>
                </c:pt>
                <c:pt idx="12">
                  <c:v>Sibiu</c:v>
                </c:pt>
                <c:pt idx="13">
                  <c:v>Cluj</c:v>
                </c:pt>
                <c:pt idx="14">
                  <c:v>Covasna</c:v>
                </c:pt>
                <c:pt idx="15">
                  <c:v>Buzău</c:v>
                </c:pt>
                <c:pt idx="16">
                  <c:v>Hunedoara</c:v>
                </c:pt>
                <c:pt idx="17">
                  <c:v>Argeș</c:v>
                </c:pt>
                <c:pt idx="18">
                  <c:v>Bihor</c:v>
                </c:pt>
                <c:pt idx="19">
                  <c:v>Alba</c:v>
                </c:pt>
                <c:pt idx="20">
                  <c:v>Timiș</c:v>
                </c:pt>
                <c:pt idx="21">
                  <c:v>Mehedinți</c:v>
                </c:pt>
                <c:pt idx="22">
                  <c:v>Constanța</c:v>
                </c:pt>
                <c:pt idx="23">
                  <c:v>Vaslui</c:v>
                </c:pt>
                <c:pt idx="24">
                  <c:v>Giurgiu</c:v>
                </c:pt>
                <c:pt idx="25">
                  <c:v>Neamț</c:v>
                </c:pt>
                <c:pt idx="26">
                  <c:v>Brașov</c:v>
                </c:pt>
                <c:pt idx="27">
                  <c:v>Galați</c:v>
                </c:pt>
                <c:pt idx="28">
                  <c:v>Botoșani</c:v>
                </c:pt>
                <c:pt idx="29">
                  <c:v>Caraș-Severin</c:v>
                </c:pt>
                <c:pt idx="30">
                  <c:v>Călărași</c:v>
                </c:pt>
                <c:pt idx="31">
                  <c:v>Dâmbovița</c:v>
                </c:pt>
                <c:pt idx="32">
                  <c:v>Iași</c:v>
                </c:pt>
                <c:pt idx="33">
                  <c:v>Vrancea</c:v>
                </c:pt>
                <c:pt idx="34">
                  <c:v>Mureș</c:v>
                </c:pt>
                <c:pt idx="35">
                  <c:v>Bacău</c:v>
                </c:pt>
                <c:pt idx="36">
                  <c:v>Prahova</c:v>
                </c:pt>
                <c:pt idx="37">
                  <c:v>Harghita</c:v>
                </c:pt>
                <c:pt idx="38">
                  <c:v>București</c:v>
                </c:pt>
                <c:pt idx="39">
                  <c:v>Ilfov</c:v>
                </c:pt>
                <c:pt idx="40">
                  <c:v>Vâlcea</c:v>
                </c:pt>
                <c:pt idx="41">
                  <c:v>Teleorman</c:v>
                </c:pt>
              </c:strCache>
            </c:strRef>
          </c:cat>
          <c:val>
            <c:numRef>
              <c:f>Sheet1!$B$2:$B$43</c:f>
              <c:numCache>
                <c:formatCode>General</c:formatCode>
                <c:ptCount val="42"/>
                <c:pt idx="0">
                  <c:v>7.3</c:v>
                </c:pt>
                <c:pt idx="1">
                  <c:v>4.5</c:v>
                </c:pt>
                <c:pt idx="2">
                  <c:v>3.5</c:v>
                </c:pt>
                <c:pt idx="3">
                  <c:v>3.4</c:v>
                </c:pt>
                <c:pt idx="4">
                  <c:v>3.3</c:v>
                </c:pt>
                <c:pt idx="5">
                  <c:v>3.3</c:v>
                </c:pt>
                <c:pt idx="6">
                  <c:v>3.1</c:v>
                </c:pt>
                <c:pt idx="7">
                  <c:v>3.1</c:v>
                </c:pt>
                <c:pt idx="8">
                  <c:v>3</c:v>
                </c:pt>
                <c:pt idx="9">
                  <c:v>2.8</c:v>
                </c:pt>
                <c:pt idx="10">
                  <c:v>2.6</c:v>
                </c:pt>
                <c:pt idx="11">
                  <c:v>2.6</c:v>
                </c:pt>
                <c:pt idx="12">
                  <c:v>2.6</c:v>
                </c:pt>
                <c:pt idx="13">
                  <c:v>2.5</c:v>
                </c:pt>
                <c:pt idx="14">
                  <c:v>2.5</c:v>
                </c:pt>
                <c:pt idx="15">
                  <c:v>2.4</c:v>
                </c:pt>
                <c:pt idx="16">
                  <c:v>2.4</c:v>
                </c:pt>
                <c:pt idx="17">
                  <c:v>2.2999999999999998</c:v>
                </c:pt>
                <c:pt idx="18">
                  <c:v>2.2999999999999998</c:v>
                </c:pt>
                <c:pt idx="19">
                  <c:v>2.2000000000000002</c:v>
                </c:pt>
                <c:pt idx="20">
                  <c:v>2.2000000000000002</c:v>
                </c:pt>
                <c:pt idx="21">
                  <c:v>2.1</c:v>
                </c:pt>
                <c:pt idx="22">
                  <c:v>2</c:v>
                </c:pt>
                <c:pt idx="23">
                  <c:v>1.9</c:v>
                </c:pt>
                <c:pt idx="24">
                  <c:v>1.8</c:v>
                </c:pt>
                <c:pt idx="25">
                  <c:v>1.8</c:v>
                </c:pt>
                <c:pt idx="26">
                  <c:v>1.7</c:v>
                </c:pt>
                <c:pt idx="27">
                  <c:v>1.7</c:v>
                </c:pt>
                <c:pt idx="28">
                  <c:v>1.6</c:v>
                </c:pt>
                <c:pt idx="29">
                  <c:v>1.6</c:v>
                </c:pt>
                <c:pt idx="30">
                  <c:v>1.6</c:v>
                </c:pt>
                <c:pt idx="31">
                  <c:v>1.6</c:v>
                </c:pt>
                <c:pt idx="32">
                  <c:v>1.5</c:v>
                </c:pt>
                <c:pt idx="33">
                  <c:v>1.4</c:v>
                </c:pt>
                <c:pt idx="34">
                  <c:v>1.3</c:v>
                </c:pt>
                <c:pt idx="35">
                  <c:v>1.1000000000000001</c:v>
                </c:pt>
                <c:pt idx="36">
                  <c:v>1.1000000000000001</c:v>
                </c:pt>
                <c:pt idx="37">
                  <c:v>1</c:v>
                </c:pt>
                <c:pt idx="38">
                  <c:v>0.8</c:v>
                </c:pt>
                <c:pt idx="39">
                  <c:v>0.8</c:v>
                </c:pt>
                <c:pt idx="40">
                  <c:v>0.8</c:v>
                </c:pt>
                <c:pt idx="41">
                  <c:v>0.4</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Tulcea</c:v>
                </c:pt>
                <c:pt idx="1">
                  <c:v>Suceava</c:v>
                </c:pt>
                <c:pt idx="2">
                  <c:v>Maramureș</c:v>
                </c:pt>
                <c:pt idx="3">
                  <c:v>Sălaj</c:v>
                </c:pt>
                <c:pt idx="4">
                  <c:v>Arad</c:v>
                </c:pt>
                <c:pt idx="5">
                  <c:v>Gorj</c:v>
                </c:pt>
                <c:pt idx="6">
                  <c:v>Olt</c:v>
                </c:pt>
                <c:pt idx="7">
                  <c:v>Satu-Mare</c:v>
                </c:pt>
                <c:pt idx="8">
                  <c:v>Dolj</c:v>
                </c:pt>
                <c:pt idx="9">
                  <c:v>Brăila</c:v>
                </c:pt>
                <c:pt idx="10">
                  <c:v>Bistrița-Năsăud</c:v>
                </c:pt>
                <c:pt idx="11">
                  <c:v>Ialomița</c:v>
                </c:pt>
                <c:pt idx="12">
                  <c:v>Sibiu</c:v>
                </c:pt>
                <c:pt idx="13">
                  <c:v>Cluj</c:v>
                </c:pt>
                <c:pt idx="14">
                  <c:v>Covasna</c:v>
                </c:pt>
                <c:pt idx="15">
                  <c:v>Buzău</c:v>
                </c:pt>
                <c:pt idx="16">
                  <c:v>Hunedoara</c:v>
                </c:pt>
                <c:pt idx="17">
                  <c:v>Argeș</c:v>
                </c:pt>
                <c:pt idx="18">
                  <c:v>Bihor</c:v>
                </c:pt>
                <c:pt idx="19">
                  <c:v>Alba</c:v>
                </c:pt>
                <c:pt idx="20">
                  <c:v>Timiș</c:v>
                </c:pt>
                <c:pt idx="21">
                  <c:v>Mehedinți</c:v>
                </c:pt>
                <c:pt idx="22">
                  <c:v>Constanța</c:v>
                </c:pt>
                <c:pt idx="23">
                  <c:v>Vaslui</c:v>
                </c:pt>
                <c:pt idx="24">
                  <c:v>Giurgiu</c:v>
                </c:pt>
                <c:pt idx="25">
                  <c:v>Neamț</c:v>
                </c:pt>
                <c:pt idx="26">
                  <c:v>Brașov</c:v>
                </c:pt>
                <c:pt idx="27">
                  <c:v>Galați</c:v>
                </c:pt>
                <c:pt idx="28">
                  <c:v>Botoșani</c:v>
                </c:pt>
                <c:pt idx="29">
                  <c:v>Caraș-Severin</c:v>
                </c:pt>
                <c:pt idx="30">
                  <c:v>Călărași</c:v>
                </c:pt>
                <c:pt idx="31">
                  <c:v>Dâmbovița</c:v>
                </c:pt>
                <c:pt idx="32">
                  <c:v>Iași</c:v>
                </c:pt>
                <c:pt idx="33">
                  <c:v>Vrancea</c:v>
                </c:pt>
                <c:pt idx="34">
                  <c:v>Mureș</c:v>
                </c:pt>
                <c:pt idx="35">
                  <c:v>Bacău</c:v>
                </c:pt>
                <c:pt idx="36">
                  <c:v>Prahova</c:v>
                </c:pt>
                <c:pt idx="37">
                  <c:v>Harghita</c:v>
                </c:pt>
                <c:pt idx="38">
                  <c:v>București</c:v>
                </c:pt>
                <c:pt idx="39">
                  <c:v>Ilfov</c:v>
                </c:pt>
                <c:pt idx="40">
                  <c:v>Vâlcea</c:v>
                </c:pt>
                <c:pt idx="41">
                  <c:v>Teleorman</c:v>
                </c:pt>
              </c:strCache>
            </c:strRef>
          </c:cat>
          <c:val>
            <c:numRef>
              <c:f>Sheet1!$C$2:$C$43</c:f>
              <c:numCache>
                <c:formatCode>General</c:formatCode>
                <c:ptCount val="42"/>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Tulcea</c:v>
                </c:pt>
                <c:pt idx="1">
                  <c:v>Suceava</c:v>
                </c:pt>
                <c:pt idx="2">
                  <c:v>Maramureș</c:v>
                </c:pt>
                <c:pt idx="3">
                  <c:v>Sălaj</c:v>
                </c:pt>
                <c:pt idx="4">
                  <c:v>Arad</c:v>
                </c:pt>
                <c:pt idx="5">
                  <c:v>Gorj</c:v>
                </c:pt>
                <c:pt idx="6">
                  <c:v>Olt</c:v>
                </c:pt>
                <c:pt idx="7">
                  <c:v>Satu-Mare</c:v>
                </c:pt>
                <c:pt idx="8">
                  <c:v>Dolj</c:v>
                </c:pt>
                <c:pt idx="9">
                  <c:v>Brăila</c:v>
                </c:pt>
                <c:pt idx="10">
                  <c:v>Bistrița-Năsăud</c:v>
                </c:pt>
                <c:pt idx="11">
                  <c:v>Ialomița</c:v>
                </c:pt>
                <c:pt idx="12">
                  <c:v>Sibiu</c:v>
                </c:pt>
                <c:pt idx="13">
                  <c:v>Cluj</c:v>
                </c:pt>
                <c:pt idx="14">
                  <c:v>Covasna</c:v>
                </c:pt>
                <c:pt idx="15">
                  <c:v>Buzău</c:v>
                </c:pt>
                <c:pt idx="16">
                  <c:v>Hunedoara</c:v>
                </c:pt>
                <c:pt idx="17">
                  <c:v>Argeș</c:v>
                </c:pt>
                <c:pt idx="18">
                  <c:v>Bihor</c:v>
                </c:pt>
                <c:pt idx="19">
                  <c:v>Alba</c:v>
                </c:pt>
                <c:pt idx="20">
                  <c:v>Timiș</c:v>
                </c:pt>
                <c:pt idx="21">
                  <c:v>Mehedinți</c:v>
                </c:pt>
                <c:pt idx="22">
                  <c:v>Constanța</c:v>
                </c:pt>
                <c:pt idx="23">
                  <c:v>Vaslui</c:v>
                </c:pt>
                <c:pt idx="24">
                  <c:v>Giurgiu</c:v>
                </c:pt>
                <c:pt idx="25">
                  <c:v>Neamț</c:v>
                </c:pt>
                <c:pt idx="26">
                  <c:v>Brașov</c:v>
                </c:pt>
                <c:pt idx="27">
                  <c:v>Galați</c:v>
                </c:pt>
                <c:pt idx="28">
                  <c:v>Botoșani</c:v>
                </c:pt>
                <c:pt idx="29">
                  <c:v>Caraș-Severin</c:v>
                </c:pt>
                <c:pt idx="30">
                  <c:v>Călărași</c:v>
                </c:pt>
                <c:pt idx="31">
                  <c:v>Dâmbovița</c:v>
                </c:pt>
                <c:pt idx="32">
                  <c:v>Iași</c:v>
                </c:pt>
                <c:pt idx="33">
                  <c:v>Vrancea</c:v>
                </c:pt>
                <c:pt idx="34">
                  <c:v>Mureș</c:v>
                </c:pt>
                <c:pt idx="35">
                  <c:v>Bacău</c:v>
                </c:pt>
                <c:pt idx="36">
                  <c:v>Prahova</c:v>
                </c:pt>
                <c:pt idx="37">
                  <c:v>Harghita</c:v>
                </c:pt>
                <c:pt idx="38">
                  <c:v>București</c:v>
                </c:pt>
                <c:pt idx="39">
                  <c:v>Ilfov</c:v>
                </c:pt>
                <c:pt idx="40">
                  <c:v>Vâlcea</c:v>
                </c:pt>
                <c:pt idx="41">
                  <c:v>Teleorman</c:v>
                </c:pt>
              </c:strCache>
            </c:strRef>
          </c:cat>
          <c:val>
            <c:numRef>
              <c:f>Sheet1!$D$2:$D$43</c:f>
              <c:numCache>
                <c:formatCode>General</c:formatCode>
                <c:ptCount val="42"/>
              </c:numCache>
            </c:numRef>
          </c:val>
        </c:ser>
        <c:dLbls>
          <c:dLblPos val="outEnd"/>
          <c:showLegendKey val="0"/>
          <c:showVal val="1"/>
          <c:showCatName val="0"/>
          <c:showSerName val="0"/>
          <c:showPercent val="0"/>
          <c:showBubbleSize val="0"/>
        </c:dLbls>
        <c:gapWidth val="0"/>
        <c:axId val="-805874880"/>
        <c:axId val="-805905344"/>
      </c:barChart>
      <c:catAx>
        <c:axId val="-805874880"/>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905344"/>
        <c:crosses val="autoZero"/>
        <c:auto val="1"/>
        <c:lblAlgn val="ctr"/>
        <c:lblOffset val="100"/>
        <c:noMultiLvlLbl val="0"/>
      </c:catAx>
      <c:valAx>
        <c:axId val="-805905344"/>
        <c:scaling>
          <c:orientation val="minMax"/>
        </c:scaling>
        <c:delete val="0"/>
        <c:axPos val="l"/>
        <c:numFmt formatCode="General" sourceLinked="1"/>
        <c:majorTickMark val="out"/>
        <c:minorTickMark val="none"/>
        <c:tickLblPos val="nextTo"/>
        <c:txPr>
          <a:bodyPr/>
          <a:lstStyle/>
          <a:p>
            <a:pPr>
              <a:defRPr sz="500"/>
            </a:pPr>
            <a:endParaRPr lang="en-US"/>
          </a:p>
        </c:txPr>
        <c:crossAx val="-80587488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Sheet1!$A$2:$A$44</c:f>
              <c:strCache>
                <c:ptCount val="42"/>
                <c:pt idx="0">
                  <c:v>Tulcea</c:v>
                </c:pt>
                <c:pt idx="1">
                  <c:v>Suceava</c:v>
                </c:pt>
                <c:pt idx="2">
                  <c:v>Mehedinți</c:v>
                </c:pt>
                <c:pt idx="3">
                  <c:v>Sălaj</c:v>
                </c:pt>
                <c:pt idx="4">
                  <c:v>Dolj</c:v>
                </c:pt>
                <c:pt idx="5">
                  <c:v>Gorj</c:v>
                </c:pt>
                <c:pt idx="6">
                  <c:v>Maramureș</c:v>
                </c:pt>
                <c:pt idx="7">
                  <c:v>Arad</c:v>
                </c:pt>
                <c:pt idx="8">
                  <c:v>Bistrița-Năsăud</c:v>
                </c:pt>
                <c:pt idx="9">
                  <c:v>Ialomița</c:v>
                </c:pt>
                <c:pt idx="10">
                  <c:v>Neamț</c:v>
                </c:pt>
                <c:pt idx="11">
                  <c:v>Sibiu</c:v>
                </c:pt>
                <c:pt idx="12">
                  <c:v>Botoșani</c:v>
                </c:pt>
                <c:pt idx="13">
                  <c:v>Satu-Mare</c:v>
                </c:pt>
                <c:pt idx="14">
                  <c:v>Vrancea</c:v>
                </c:pt>
                <c:pt idx="15">
                  <c:v>Alba</c:v>
                </c:pt>
                <c:pt idx="16">
                  <c:v>Brăila</c:v>
                </c:pt>
                <c:pt idx="17">
                  <c:v>Hunedoara</c:v>
                </c:pt>
                <c:pt idx="18">
                  <c:v>Olt</c:v>
                </c:pt>
                <c:pt idx="19">
                  <c:v>Galați</c:v>
                </c:pt>
                <c:pt idx="20">
                  <c:v>Argeș</c:v>
                </c:pt>
                <c:pt idx="21">
                  <c:v>Bihor</c:v>
                </c:pt>
                <c:pt idx="22">
                  <c:v>Buzău</c:v>
                </c:pt>
                <c:pt idx="23">
                  <c:v>Constanța</c:v>
                </c:pt>
                <c:pt idx="24">
                  <c:v>Covasna</c:v>
                </c:pt>
                <c:pt idx="25">
                  <c:v>Cluj</c:v>
                </c:pt>
                <c:pt idx="26">
                  <c:v>Mureș</c:v>
                </c:pt>
                <c:pt idx="27">
                  <c:v>Brașov</c:v>
                </c:pt>
                <c:pt idx="28">
                  <c:v>Giurgiu</c:v>
                </c:pt>
                <c:pt idx="29">
                  <c:v>Harghita</c:v>
                </c:pt>
                <c:pt idx="30">
                  <c:v>Dâmbovița</c:v>
                </c:pt>
                <c:pt idx="31">
                  <c:v>Călărași</c:v>
                </c:pt>
                <c:pt idx="32">
                  <c:v>Iași</c:v>
                </c:pt>
                <c:pt idx="33">
                  <c:v>Vaslui</c:v>
                </c:pt>
                <c:pt idx="34">
                  <c:v>Bacău</c:v>
                </c:pt>
                <c:pt idx="35">
                  <c:v>Timiș</c:v>
                </c:pt>
                <c:pt idx="36">
                  <c:v>Prahova</c:v>
                </c:pt>
                <c:pt idx="37">
                  <c:v>Caraș-Severin</c:v>
                </c:pt>
                <c:pt idx="38">
                  <c:v>Vâlcea</c:v>
                </c:pt>
                <c:pt idx="39">
                  <c:v>București</c:v>
                </c:pt>
                <c:pt idx="40">
                  <c:v>Ilfov</c:v>
                </c:pt>
                <c:pt idx="41">
                  <c:v>Teleorman</c:v>
                </c:pt>
              </c:strCache>
            </c:strRef>
          </c:cat>
          <c:val>
            <c:numRef>
              <c:f>Sheet1!$B$2:$B$44</c:f>
              <c:numCache>
                <c:formatCode>General</c:formatCode>
                <c:ptCount val="43"/>
                <c:pt idx="0">
                  <c:v>9.1</c:v>
                </c:pt>
                <c:pt idx="1">
                  <c:v>6.4</c:v>
                </c:pt>
                <c:pt idx="2">
                  <c:v>5.2</c:v>
                </c:pt>
                <c:pt idx="3">
                  <c:v>5.2</c:v>
                </c:pt>
                <c:pt idx="4">
                  <c:v>5.0999999999999996</c:v>
                </c:pt>
                <c:pt idx="5">
                  <c:v>4.9000000000000004</c:v>
                </c:pt>
                <c:pt idx="6">
                  <c:v>4.7</c:v>
                </c:pt>
                <c:pt idx="7">
                  <c:v>4.4000000000000004</c:v>
                </c:pt>
                <c:pt idx="8">
                  <c:v>4.3</c:v>
                </c:pt>
                <c:pt idx="9">
                  <c:v>3.9</c:v>
                </c:pt>
                <c:pt idx="10">
                  <c:v>3.9</c:v>
                </c:pt>
                <c:pt idx="11">
                  <c:v>3.9</c:v>
                </c:pt>
                <c:pt idx="12">
                  <c:v>3.8</c:v>
                </c:pt>
                <c:pt idx="13">
                  <c:v>3.8</c:v>
                </c:pt>
                <c:pt idx="14">
                  <c:v>3.8</c:v>
                </c:pt>
                <c:pt idx="15">
                  <c:v>3.7</c:v>
                </c:pt>
                <c:pt idx="16">
                  <c:v>3.7</c:v>
                </c:pt>
                <c:pt idx="17">
                  <c:v>3.7</c:v>
                </c:pt>
                <c:pt idx="18">
                  <c:v>3.7</c:v>
                </c:pt>
                <c:pt idx="19">
                  <c:v>3.5</c:v>
                </c:pt>
                <c:pt idx="20">
                  <c:v>3.4</c:v>
                </c:pt>
                <c:pt idx="21">
                  <c:v>3.4</c:v>
                </c:pt>
                <c:pt idx="22">
                  <c:v>3.4</c:v>
                </c:pt>
                <c:pt idx="23">
                  <c:v>3.4</c:v>
                </c:pt>
                <c:pt idx="24">
                  <c:v>3.4</c:v>
                </c:pt>
                <c:pt idx="25">
                  <c:v>3.3</c:v>
                </c:pt>
                <c:pt idx="26">
                  <c:v>3.3</c:v>
                </c:pt>
                <c:pt idx="27">
                  <c:v>3.1</c:v>
                </c:pt>
                <c:pt idx="28">
                  <c:v>3.1</c:v>
                </c:pt>
                <c:pt idx="29">
                  <c:v>3.1</c:v>
                </c:pt>
                <c:pt idx="30">
                  <c:v>3</c:v>
                </c:pt>
                <c:pt idx="31">
                  <c:v>2.8</c:v>
                </c:pt>
                <c:pt idx="32">
                  <c:v>2.6</c:v>
                </c:pt>
                <c:pt idx="33">
                  <c:v>2.6</c:v>
                </c:pt>
                <c:pt idx="34">
                  <c:v>2.5</c:v>
                </c:pt>
                <c:pt idx="35">
                  <c:v>2.5</c:v>
                </c:pt>
                <c:pt idx="36">
                  <c:v>2.2999999999999998</c:v>
                </c:pt>
                <c:pt idx="37">
                  <c:v>2.1</c:v>
                </c:pt>
                <c:pt idx="38">
                  <c:v>1.6</c:v>
                </c:pt>
                <c:pt idx="39">
                  <c:v>1.4</c:v>
                </c:pt>
                <c:pt idx="40">
                  <c:v>1.3</c:v>
                </c:pt>
                <c:pt idx="41">
                  <c:v>0.9</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2"/>
                <c:pt idx="0">
                  <c:v>Tulcea</c:v>
                </c:pt>
                <c:pt idx="1">
                  <c:v>Suceava</c:v>
                </c:pt>
                <c:pt idx="2">
                  <c:v>Mehedinți</c:v>
                </c:pt>
                <c:pt idx="3">
                  <c:v>Sălaj</c:v>
                </c:pt>
                <c:pt idx="4">
                  <c:v>Dolj</c:v>
                </c:pt>
                <c:pt idx="5">
                  <c:v>Gorj</c:v>
                </c:pt>
                <c:pt idx="6">
                  <c:v>Maramureș</c:v>
                </c:pt>
                <c:pt idx="7">
                  <c:v>Arad</c:v>
                </c:pt>
                <c:pt idx="8">
                  <c:v>Bistrița-Năsăud</c:v>
                </c:pt>
                <c:pt idx="9">
                  <c:v>Ialomița</c:v>
                </c:pt>
                <c:pt idx="10">
                  <c:v>Neamț</c:v>
                </c:pt>
                <c:pt idx="11">
                  <c:v>Sibiu</c:v>
                </c:pt>
                <c:pt idx="12">
                  <c:v>Botoșani</c:v>
                </c:pt>
                <c:pt idx="13">
                  <c:v>Satu-Mare</c:v>
                </c:pt>
                <c:pt idx="14">
                  <c:v>Vrancea</c:v>
                </c:pt>
                <c:pt idx="15">
                  <c:v>Alba</c:v>
                </c:pt>
                <c:pt idx="16">
                  <c:v>Brăila</c:v>
                </c:pt>
                <c:pt idx="17">
                  <c:v>Hunedoara</c:v>
                </c:pt>
                <c:pt idx="18">
                  <c:v>Olt</c:v>
                </c:pt>
                <c:pt idx="19">
                  <c:v>Galați</c:v>
                </c:pt>
                <c:pt idx="20">
                  <c:v>Argeș</c:v>
                </c:pt>
                <c:pt idx="21">
                  <c:v>Bihor</c:v>
                </c:pt>
                <c:pt idx="22">
                  <c:v>Buzău</c:v>
                </c:pt>
                <c:pt idx="23">
                  <c:v>Constanța</c:v>
                </c:pt>
                <c:pt idx="24">
                  <c:v>Covasna</c:v>
                </c:pt>
                <c:pt idx="25">
                  <c:v>Cluj</c:v>
                </c:pt>
                <c:pt idx="26">
                  <c:v>Mureș</c:v>
                </c:pt>
                <c:pt idx="27">
                  <c:v>Brașov</c:v>
                </c:pt>
                <c:pt idx="28">
                  <c:v>Giurgiu</c:v>
                </c:pt>
                <c:pt idx="29">
                  <c:v>Harghita</c:v>
                </c:pt>
                <c:pt idx="30">
                  <c:v>Dâmbovița</c:v>
                </c:pt>
                <c:pt idx="31">
                  <c:v>Călărași</c:v>
                </c:pt>
                <c:pt idx="32">
                  <c:v>Iași</c:v>
                </c:pt>
                <c:pt idx="33">
                  <c:v>Vaslui</c:v>
                </c:pt>
                <c:pt idx="34">
                  <c:v>Bacău</c:v>
                </c:pt>
                <c:pt idx="35">
                  <c:v>Timiș</c:v>
                </c:pt>
                <c:pt idx="36">
                  <c:v>Prahova</c:v>
                </c:pt>
                <c:pt idx="37">
                  <c:v>Caraș-Severin</c:v>
                </c:pt>
                <c:pt idx="38">
                  <c:v>Vâlcea</c:v>
                </c:pt>
                <c:pt idx="39">
                  <c:v>București</c:v>
                </c:pt>
                <c:pt idx="40">
                  <c:v>Ilfov</c:v>
                </c:pt>
                <c:pt idx="41">
                  <c:v>Teleorman</c:v>
                </c:pt>
              </c:strCache>
            </c:strRef>
          </c:cat>
          <c:val>
            <c:numRef>
              <c:f>Sheet1!$C$2:$C$44</c:f>
              <c:numCache>
                <c:formatCode>General</c:formatCode>
                <c:ptCount val="43"/>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2"/>
                <c:pt idx="0">
                  <c:v>Tulcea</c:v>
                </c:pt>
                <c:pt idx="1">
                  <c:v>Suceava</c:v>
                </c:pt>
                <c:pt idx="2">
                  <c:v>Mehedinți</c:v>
                </c:pt>
                <c:pt idx="3">
                  <c:v>Sălaj</c:v>
                </c:pt>
                <c:pt idx="4">
                  <c:v>Dolj</c:v>
                </c:pt>
                <c:pt idx="5">
                  <c:v>Gorj</c:v>
                </c:pt>
                <c:pt idx="6">
                  <c:v>Maramureș</c:v>
                </c:pt>
                <c:pt idx="7">
                  <c:v>Arad</c:v>
                </c:pt>
                <c:pt idx="8">
                  <c:v>Bistrița-Năsăud</c:v>
                </c:pt>
                <c:pt idx="9">
                  <c:v>Ialomița</c:v>
                </c:pt>
                <c:pt idx="10">
                  <c:v>Neamț</c:v>
                </c:pt>
                <c:pt idx="11">
                  <c:v>Sibiu</c:v>
                </c:pt>
                <c:pt idx="12">
                  <c:v>Botoșani</c:v>
                </c:pt>
                <c:pt idx="13">
                  <c:v>Satu-Mare</c:v>
                </c:pt>
                <c:pt idx="14">
                  <c:v>Vrancea</c:v>
                </c:pt>
                <c:pt idx="15">
                  <c:v>Alba</c:v>
                </c:pt>
                <c:pt idx="16">
                  <c:v>Brăila</c:v>
                </c:pt>
                <c:pt idx="17">
                  <c:v>Hunedoara</c:v>
                </c:pt>
                <c:pt idx="18">
                  <c:v>Olt</c:v>
                </c:pt>
                <c:pt idx="19">
                  <c:v>Galați</c:v>
                </c:pt>
                <c:pt idx="20">
                  <c:v>Argeș</c:v>
                </c:pt>
                <c:pt idx="21">
                  <c:v>Bihor</c:v>
                </c:pt>
                <c:pt idx="22">
                  <c:v>Buzău</c:v>
                </c:pt>
                <c:pt idx="23">
                  <c:v>Constanța</c:v>
                </c:pt>
                <c:pt idx="24">
                  <c:v>Covasna</c:v>
                </c:pt>
                <c:pt idx="25">
                  <c:v>Cluj</c:v>
                </c:pt>
                <c:pt idx="26">
                  <c:v>Mureș</c:v>
                </c:pt>
                <c:pt idx="27">
                  <c:v>Brașov</c:v>
                </c:pt>
                <c:pt idx="28">
                  <c:v>Giurgiu</c:v>
                </c:pt>
                <c:pt idx="29">
                  <c:v>Harghita</c:v>
                </c:pt>
                <c:pt idx="30">
                  <c:v>Dâmbovița</c:v>
                </c:pt>
                <c:pt idx="31">
                  <c:v>Călărași</c:v>
                </c:pt>
                <c:pt idx="32">
                  <c:v>Iași</c:v>
                </c:pt>
                <c:pt idx="33">
                  <c:v>Vaslui</c:v>
                </c:pt>
                <c:pt idx="34">
                  <c:v>Bacău</c:v>
                </c:pt>
                <c:pt idx="35">
                  <c:v>Timiș</c:v>
                </c:pt>
                <c:pt idx="36">
                  <c:v>Prahova</c:v>
                </c:pt>
                <c:pt idx="37">
                  <c:v>Caraș-Severin</c:v>
                </c:pt>
                <c:pt idx="38">
                  <c:v>Vâlcea</c:v>
                </c:pt>
                <c:pt idx="39">
                  <c:v>București</c:v>
                </c:pt>
                <c:pt idx="40">
                  <c:v>Ilfov</c:v>
                </c:pt>
                <c:pt idx="41">
                  <c:v>Teleorman</c:v>
                </c:pt>
              </c:strCache>
            </c:strRef>
          </c:cat>
          <c:val>
            <c:numRef>
              <c:f>Sheet1!$D$2:$D$44</c:f>
              <c:numCache>
                <c:formatCode>General</c:formatCode>
                <c:ptCount val="43"/>
              </c:numCache>
            </c:numRef>
          </c:val>
        </c:ser>
        <c:dLbls>
          <c:dLblPos val="outEnd"/>
          <c:showLegendKey val="0"/>
          <c:showVal val="1"/>
          <c:showCatName val="0"/>
          <c:showSerName val="0"/>
          <c:showPercent val="0"/>
          <c:showBubbleSize val="0"/>
        </c:dLbls>
        <c:gapWidth val="0"/>
        <c:axId val="-805894464"/>
        <c:axId val="-805892832"/>
      </c:barChart>
      <c:catAx>
        <c:axId val="-805894464"/>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892832"/>
        <c:crosses val="autoZero"/>
        <c:auto val="1"/>
        <c:lblAlgn val="ctr"/>
        <c:lblOffset val="100"/>
        <c:noMultiLvlLbl val="0"/>
      </c:catAx>
      <c:valAx>
        <c:axId val="-805892832"/>
        <c:scaling>
          <c:orientation val="minMax"/>
        </c:scaling>
        <c:delete val="0"/>
        <c:axPos val="l"/>
        <c:numFmt formatCode="General" sourceLinked="1"/>
        <c:majorTickMark val="out"/>
        <c:minorTickMark val="none"/>
        <c:tickLblPos val="nextTo"/>
        <c:txPr>
          <a:bodyPr/>
          <a:lstStyle/>
          <a:p>
            <a:pPr>
              <a:defRPr sz="500"/>
            </a:pPr>
            <a:endParaRPr lang="en-US"/>
          </a:p>
        </c:txPr>
        <c:crossAx val="-805894464"/>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1003207932342"/>
          <c:y val="6.5693519079345855E-2"/>
          <c:w val="0.7859406897054535"/>
          <c:h val="0.87521805537019737"/>
        </c:manualLayout>
      </c:layout>
      <c:barChart>
        <c:barDir val="bar"/>
        <c:grouping val="stacked"/>
        <c:varyColors val="0"/>
        <c:ser>
          <c:idx val="0"/>
          <c:order val="0"/>
          <c:tx>
            <c:strRef>
              <c:f>Sheet1!$B$1</c:f>
              <c:strCache>
                <c:ptCount val="1"/>
                <c:pt idx="0">
                  <c:v>2011</c:v>
                </c:pt>
              </c:strCache>
            </c:strRef>
          </c:tx>
          <c:spPr>
            <a:solidFill>
              <a:schemeClr val="accent6">
                <a:lumMod val="60000"/>
                <a:lumOff val="40000"/>
              </a:schemeClr>
            </a:solidFill>
          </c:spPr>
          <c:invertIfNegative val="0"/>
          <c:dLbls>
            <c:dLbl>
              <c:idx val="3"/>
              <c:layout>
                <c:manualLayout>
                  <c:x val="-4.8341353164187808E-3"/>
                  <c:y val="9.206840701844966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5.8391659375911344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1.0328813065033537E-2"/>
                  <c:y val="7.532758970100489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4.8550962379702535E-3"/>
                  <c:y val="-1.004394224733207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9.5186278798483522E-3"/>
                  <c:y val="-7.532956685499012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3.8440507436570429E-4"/>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1"/>
              <c:layout>
                <c:manualLayout>
                  <c:x val="-4.9241761446485854E-3"/>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2"/>
              <c:layout>
                <c:manualLayout>
                  <c:x val="7.8890893846602514E-2"/>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3"/>
              <c:layout>
                <c:manualLayout>
                  <c:x val="1.2753353747448236E-3"/>
                  <c:y val="-1.757709664822970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3.0251166520851558E-3"/>
                  <c:y val="-1.757689893283113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5"/>
              <c:layout>
                <c:manualLayout>
                  <c:x val="3.3104732876132421E-4"/>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7.5889472149314671E-3"/>
                  <c:y val="-1.5065913370998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1.0844998541848937E-3"/>
                  <c:y val="-3.264281230382925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Sheet1!$B$2:$B$29</c:f>
              <c:numCache>
                <c:formatCode>General</c:formatCode>
                <c:ptCount val="28"/>
                <c:pt idx="0">
                  <c:v>6.1</c:v>
                </c:pt>
                <c:pt idx="1">
                  <c:v>10.7</c:v>
                </c:pt>
                <c:pt idx="2">
                  <c:v>2.7</c:v>
                </c:pt>
                <c:pt idx="3">
                  <c:v>1.5</c:v>
                </c:pt>
                <c:pt idx="4">
                  <c:v>4.8</c:v>
                </c:pt>
                <c:pt idx="5">
                  <c:v>3.5</c:v>
                </c:pt>
                <c:pt idx="6">
                  <c:v>27.5</c:v>
                </c:pt>
                <c:pt idx="7">
                  <c:v>7.2</c:v>
                </c:pt>
                <c:pt idx="8">
                  <c:v>8.6999999999999993</c:v>
                </c:pt>
                <c:pt idx="9">
                  <c:v>11.2</c:v>
                </c:pt>
                <c:pt idx="10">
                  <c:v>8.4</c:v>
                </c:pt>
                <c:pt idx="11">
                  <c:v>1.7</c:v>
                </c:pt>
                <c:pt idx="12">
                  <c:v>6.7</c:v>
                </c:pt>
                <c:pt idx="13">
                  <c:v>6.4</c:v>
                </c:pt>
                <c:pt idx="14">
                  <c:v>14.4</c:v>
                </c:pt>
                <c:pt idx="15">
                  <c:v>5.4</c:v>
                </c:pt>
                <c:pt idx="16">
                  <c:v>12.3</c:v>
                </c:pt>
                <c:pt idx="17">
                  <c:v>1.6</c:v>
                </c:pt>
                <c:pt idx="18">
                  <c:v>5.0999999999999996</c:v>
                </c:pt>
                <c:pt idx="19">
                  <c:v>7.5</c:v>
                </c:pt>
                <c:pt idx="20">
                  <c:v>4.3</c:v>
                </c:pt>
                <c:pt idx="21">
                  <c:v>2.9</c:v>
                </c:pt>
                <c:pt idx="22">
                  <c:v>17.3</c:v>
                </c:pt>
                <c:pt idx="23">
                  <c:v>4.2</c:v>
                </c:pt>
                <c:pt idx="24">
                  <c:v>2.7</c:v>
                </c:pt>
                <c:pt idx="25">
                  <c:v>0.9</c:v>
                </c:pt>
                <c:pt idx="26">
                  <c:v>3.2</c:v>
                </c:pt>
                <c:pt idx="27">
                  <c:v>4.9000000000000004</c:v>
                </c:pt>
              </c:numCache>
            </c:numRef>
          </c:val>
          <c:extLst xmlns:c16r2="http://schemas.microsoft.com/office/drawing/2015/06/chart">
            <c:ext xmlns:c16="http://schemas.microsoft.com/office/drawing/2014/chart" uri="{C3380CC4-5D6E-409C-BE32-E72D297353CC}">
              <c16:uniqueId val="{00000000-41DA-4660-9826-A3BA88C0F736}"/>
            </c:ext>
          </c:extLst>
        </c:ser>
        <c:ser>
          <c:idx val="1"/>
          <c:order val="1"/>
          <c:tx>
            <c:strRef>
              <c:f>Sheet1!$C$1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Sheet1!$C$2:$C$29</c:f>
              <c:numCache>
                <c:formatCode>General</c:formatCode>
                <c:ptCount val="28"/>
              </c:numCache>
            </c:numRef>
          </c:val>
          <c:extLst xmlns:c16r2="http://schemas.microsoft.com/office/drawing/2015/06/chart">
            <c:ext xmlns:c16="http://schemas.microsoft.com/office/drawing/2014/chart" uri="{C3380CC4-5D6E-409C-BE32-E72D297353CC}">
              <c16:uniqueId val="{00000001-41DA-4660-9826-A3BA88C0F736}"/>
            </c:ext>
          </c:extLst>
        </c:ser>
        <c:ser>
          <c:idx val="2"/>
          <c:order val="2"/>
          <c:tx>
            <c:strRef>
              <c:f>Sheet1!$D$1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Sheet1!$D$2:$D$29</c:f>
              <c:numCache>
                <c:formatCode>General</c:formatCode>
                <c:ptCount val="28"/>
              </c:numCache>
            </c:numRef>
          </c:val>
          <c:extLst xmlns:c16r2="http://schemas.microsoft.com/office/drawing/2015/06/chart">
            <c:ext xmlns:c16="http://schemas.microsoft.com/office/drawing/2014/chart" uri="{C3380CC4-5D6E-409C-BE32-E72D297353CC}">
              <c16:uniqueId val="{00000002-41DA-4660-9826-A3BA88C0F736}"/>
            </c:ext>
          </c:extLst>
        </c:ser>
        <c:ser>
          <c:idx val="3"/>
          <c:order val="3"/>
          <c:tx>
            <c:strRef>
              <c:f>Sheet1!$E$1</c:f>
              <c:strCache>
                <c:ptCount val="1"/>
                <c:pt idx="0">
                  <c:v>Column3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Sheet1!$E$2:$E$29</c:f>
              <c:numCache>
                <c:formatCode>General</c:formatCode>
                <c:ptCount val="28"/>
              </c:numCache>
            </c:numRef>
          </c:val>
          <c:extLst xmlns:c16r2="http://schemas.microsoft.com/office/drawing/2015/06/chart">
            <c:ext xmlns:c16="http://schemas.microsoft.com/office/drawing/2014/chart" uri="{C3380CC4-5D6E-409C-BE32-E72D297353CC}">
              <c16:uniqueId val="{00000003-41DA-4660-9826-A3BA88C0F736}"/>
            </c:ext>
          </c:extLst>
        </c:ser>
        <c:ser>
          <c:idx val="4"/>
          <c:order val="4"/>
          <c:tx>
            <c:strRef>
              <c:f>Sheet1!$F$1</c:f>
              <c:strCache>
                <c:ptCount val="1"/>
                <c:pt idx="0">
                  <c:v>Column4</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Sheet1!$F$2:$F$29</c:f>
              <c:numCache>
                <c:formatCode>General</c:formatCode>
                <c:ptCount val="28"/>
              </c:numCache>
            </c:numRef>
          </c:val>
          <c:extLst xmlns:c16r2="http://schemas.microsoft.com/office/drawing/2015/06/chart">
            <c:ext xmlns:c16="http://schemas.microsoft.com/office/drawing/2014/chart" uri="{C3380CC4-5D6E-409C-BE32-E72D297353CC}">
              <c16:uniqueId val="{00000004-41DA-4660-9826-A3BA88C0F736}"/>
            </c:ext>
          </c:extLst>
        </c:ser>
        <c:ser>
          <c:idx val="5"/>
          <c:order val="5"/>
          <c:tx>
            <c:strRef>
              <c:f>Sheet1!$G$1</c:f>
              <c:strCache>
                <c:ptCount val="1"/>
                <c:pt idx="0">
                  <c:v>2016</c:v>
                </c:pt>
              </c:strCache>
            </c:strRef>
          </c:tx>
          <c:spPr>
            <a:solidFill>
              <a:schemeClr val="tx2">
                <a:lumMod val="40000"/>
                <a:lumOff val="60000"/>
              </a:schemeClr>
            </a:solidFill>
          </c:spPr>
          <c:invertIfNegative val="0"/>
          <c:dLbls>
            <c:dLbl>
              <c:idx val="2"/>
              <c:layout>
                <c:manualLayout>
                  <c:x val="3.6801910177894429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9.9695610965296003E-3"/>
                  <c:y val="2.510985561833111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3702245552639253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5.0349956255468066E-3"/>
                  <c:y val="-1.757689893283113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5.6808836395450528E-2"/>
                  <c:y val="7.532956685499058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6.2791630212889844E-3"/>
                  <c:y val="-1.004394224733207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1"/>
              <c:layout>
                <c:manualLayout>
                  <c:x val="5.9499854184893765E-3"/>
                  <c:y val="-1.5065913370998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2"/>
              <c:layout>
                <c:manualLayout>
                  <c:x val="5.4917796733741614E-2"/>
                  <c:y val="-2.762084118016321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3"/>
              <c:layout>
                <c:manualLayout>
                  <c:x val="6.441200058326043E-3"/>
                  <c:y val="-1.757689893283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1.0826771653543308E-4"/>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5"/>
              <c:layout>
                <c:manualLayout>
                  <c:x val="1.4339275298920968E-2"/>
                  <c:y val="-1.5065913370998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6.9340551181102149E-3"/>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2.704870224555264E-4"/>
                  <c:y val="-3.264281230382925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Sheet1!$G$2:$G$29</c:f>
              <c:numCache>
                <c:formatCode>General</c:formatCode>
                <c:ptCount val="28"/>
                <c:pt idx="0">
                  <c:v>5.9</c:v>
                </c:pt>
                <c:pt idx="1">
                  <c:v>8</c:v>
                </c:pt>
                <c:pt idx="2">
                  <c:v>2.8</c:v>
                </c:pt>
                <c:pt idx="3">
                  <c:v>2.7</c:v>
                </c:pt>
                <c:pt idx="4">
                  <c:v>4.3</c:v>
                </c:pt>
                <c:pt idx="5">
                  <c:v>4.0999999999999996</c:v>
                </c:pt>
                <c:pt idx="6">
                  <c:v>17.399999999999999</c:v>
                </c:pt>
                <c:pt idx="7">
                  <c:v>10.8</c:v>
                </c:pt>
                <c:pt idx="8">
                  <c:v>6</c:v>
                </c:pt>
                <c:pt idx="9">
                  <c:v>9</c:v>
                </c:pt>
                <c:pt idx="10">
                  <c:v>8.1999999999999993</c:v>
                </c:pt>
                <c:pt idx="11">
                  <c:v>2.6</c:v>
                </c:pt>
                <c:pt idx="12">
                  <c:v>6.1</c:v>
                </c:pt>
                <c:pt idx="13">
                  <c:v>9.4</c:v>
                </c:pt>
                <c:pt idx="14">
                  <c:v>18.5</c:v>
                </c:pt>
                <c:pt idx="15">
                  <c:v>7.4</c:v>
                </c:pt>
                <c:pt idx="16">
                  <c:v>14.4</c:v>
                </c:pt>
                <c:pt idx="17">
                  <c:v>2.2999999999999998</c:v>
                </c:pt>
                <c:pt idx="18">
                  <c:v>14</c:v>
                </c:pt>
                <c:pt idx="19">
                  <c:v>5.5</c:v>
                </c:pt>
                <c:pt idx="20">
                  <c:v>3.4</c:v>
                </c:pt>
                <c:pt idx="21">
                  <c:v>3.5</c:v>
                </c:pt>
                <c:pt idx="22">
                  <c:v>14.7</c:v>
                </c:pt>
                <c:pt idx="23">
                  <c:v>4</c:v>
                </c:pt>
                <c:pt idx="24">
                  <c:v>3</c:v>
                </c:pt>
                <c:pt idx="25">
                  <c:v>1.6</c:v>
                </c:pt>
                <c:pt idx="26">
                  <c:v>3.3</c:v>
                </c:pt>
                <c:pt idx="27">
                  <c:v>4.4000000000000004</c:v>
                </c:pt>
              </c:numCache>
            </c:numRef>
          </c:val>
          <c:extLst xmlns:c16r2="http://schemas.microsoft.com/office/drawing/2015/06/chart">
            <c:ext xmlns:c16="http://schemas.microsoft.com/office/drawing/2014/chart" uri="{C3380CC4-5D6E-409C-BE32-E72D297353CC}">
              <c16:uniqueId val="{00000005-41DA-4660-9826-A3BA88C0F736}"/>
            </c:ext>
          </c:extLst>
        </c:ser>
        <c:ser>
          <c:idx val="6"/>
          <c:order val="6"/>
          <c:tx>
            <c:strRef>
              <c:f>Sheet1!$H$1</c:f>
              <c:strCache>
                <c:ptCount val="1"/>
                <c:pt idx="0">
                  <c:v>Column5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Sheet1!$H$2:$H$29</c:f>
              <c:numCache>
                <c:formatCode>General</c:formatCode>
                <c:ptCount val="28"/>
              </c:numCache>
            </c:numRef>
          </c:val>
          <c:extLst xmlns:c16r2="http://schemas.microsoft.com/office/drawing/2015/06/chart">
            <c:ext xmlns:c16="http://schemas.microsoft.com/office/drawing/2014/chart" uri="{C3380CC4-5D6E-409C-BE32-E72D297353CC}">
              <c16:uniqueId val="{00000006-41DA-4660-9826-A3BA88C0F736}"/>
            </c:ext>
          </c:extLst>
        </c:ser>
        <c:ser>
          <c:idx val="7"/>
          <c:order val="7"/>
          <c:tx>
            <c:strRef>
              <c:f>Sheet1!$I$1</c:f>
              <c:strCache>
                <c:ptCount val="1"/>
                <c:pt idx="0">
                  <c:v>Column6</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Sheet1!$I$2:$I$29</c:f>
              <c:numCache>
                <c:formatCode>General</c:formatCode>
                <c:ptCount val="28"/>
              </c:numCache>
            </c:numRef>
          </c:val>
          <c:extLst xmlns:c16r2="http://schemas.microsoft.com/office/drawing/2015/06/chart">
            <c:ext xmlns:c16="http://schemas.microsoft.com/office/drawing/2014/chart" uri="{C3380CC4-5D6E-409C-BE32-E72D297353CC}">
              <c16:uniqueId val="{00000007-41DA-4660-9826-A3BA88C0F736}"/>
            </c:ext>
          </c:extLst>
        </c:ser>
        <c:ser>
          <c:idx val="8"/>
          <c:order val="8"/>
          <c:tx>
            <c:strRef>
              <c:f>Sheet1!$J$1</c:f>
              <c:strCache>
                <c:ptCount val="1"/>
                <c:pt idx="0">
                  <c:v>Column7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Sheet1!$J$2:$J$29</c:f>
              <c:numCache>
                <c:formatCode>General</c:formatCode>
                <c:ptCount val="28"/>
              </c:numCache>
            </c:numRef>
          </c:val>
          <c:extLst xmlns:c16r2="http://schemas.microsoft.com/office/drawing/2015/06/chart">
            <c:ext xmlns:c16="http://schemas.microsoft.com/office/drawing/2014/chart" uri="{C3380CC4-5D6E-409C-BE32-E72D297353CC}">
              <c16:uniqueId val="{00000008-41DA-4660-9826-A3BA88C0F736}"/>
            </c:ext>
          </c:extLst>
        </c:ser>
        <c:ser>
          <c:idx val="9"/>
          <c:order val="9"/>
          <c:tx>
            <c:strRef>
              <c:f>Sheet1!$K$1</c:f>
              <c:strCache>
                <c:ptCount val="1"/>
                <c:pt idx="0">
                  <c:v>2020</c:v>
                </c:pt>
              </c:strCache>
            </c:strRef>
          </c:tx>
          <c:spPr>
            <a:solidFill>
              <a:schemeClr val="accent4">
                <a:lumMod val="60000"/>
                <a:lumOff val="40000"/>
              </a:schemeClr>
            </a:solidFill>
          </c:spPr>
          <c:invertIfNegative val="0"/>
          <c:dLbls>
            <c:dLbl>
              <c:idx val="0"/>
              <c:layout>
                <c:manualLayout>
                  <c:x val="5.0936315252260132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6001749781277343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3.5127588218139397E-2"/>
                  <c:y val="9.206840701844966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8402413240011667E-2"/>
                  <c:y val="-9.206840701844966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7878207932341789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6.159558180227471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5.8147601341498982E-2"/>
                  <c:y val="-1.757689893283113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3.2812773403324585E-2"/>
                  <c:y val="-5.021971123665993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3.1197871099445901E-2"/>
                  <c:y val="2.510985561833019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1"/>
              <c:layout>
                <c:manualLayout>
                  <c:x val="2.5563393117526974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3"/>
              <c:layout>
                <c:manualLayout>
                  <c:x val="3.281277340332458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4.0152194517351997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5"/>
              <c:layout>
                <c:manualLayout>
                  <c:x val="3.0193022747156583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8.6597769028871393E-3"/>
                  <c:y val="-1.5065913370998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8.2648002333041704E-3"/>
                  <c:y val="-3.013182674199623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Sheet1!$K$2:$K$29</c:f>
              <c:numCache>
                <c:formatCode>General</c:formatCode>
                <c:ptCount val="28"/>
                <c:pt idx="0">
                  <c:v>3.3</c:v>
                </c:pt>
                <c:pt idx="1">
                  <c:v>6.3</c:v>
                </c:pt>
                <c:pt idx="2">
                  <c:v>2.9</c:v>
                </c:pt>
                <c:pt idx="3">
                  <c:v>2.2999999999999998</c:v>
                </c:pt>
                <c:pt idx="4">
                  <c:v>2.8</c:v>
                </c:pt>
                <c:pt idx="5">
                  <c:v>3</c:v>
                </c:pt>
                <c:pt idx="6">
                  <c:v>10.8</c:v>
                </c:pt>
                <c:pt idx="7">
                  <c:v>8.6</c:v>
                </c:pt>
                <c:pt idx="8">
                  <c:v>5.6</c:v>
                </c:pt>
                <c:pt idx="9">
                  <c:v>4.3</c:v>
                </c:pt>
                <c:pt idx="10">
                  <c:v>5.0999999999999996</c:v>
                </c:pt>
                <c:pt idx="11">
                  <c:v>1.9</c:v>
                </c:pt>
                <c:pt idx="12">
                  <c:v>2.2000000000000002</c:v>
                </c:pt>
                <c:pt idx="13">
                  <c:v>11.8</c:v>
                </c:pt>
                <c:pt idx="14">
                  <c:v>13.5</c:v>
                </c:pt>
                <c:pt idx="15">
                  <c:v>3.9</c:v>
                </c:pt>
                <c:pt idx="16">
                  <c:v>7</c:v>
                </c:pt>
                <c:pt idx="17">
                  <c:v>2.1</c:v>
                </c:pt>
                <c:pt idx="18">
                  <c:v>15.9</c:v>
                </c:pt>
                <c:pt idx="19">
                  <c:v>2.2999999999999998</c:v>
                </c:pt>
                <c:pt idx="20">
                  <c:v>1.7</c:v>
                </c:pt>
                <c:pt idx="21">
                  <c:v>1.9</c:v>
                </c:pt>
                <c:pt idx="22">
                  <c:v>0</c:v>
                </c:pt>
                <c:pt idx="23">
                  <c:v>2.2999999999999998</c:v>
                </c:pt>
                <c:pt idx="24">
                  <c:v>1.3</c:v>
                </c:pt>
                <c:pt idx="25">
                  <c:v>1.9</c:v>
                </c:pt>
                <c:pt idx="26">
                  <c:v>2.5</c:v>
                </c:pt>
                <c:pt idx="27">
                  <c:v>3.5</c:v>
                </c:pt>
              </c:numCache>
            </c:numRef>
          </c:val>
          <c:extLst xmlns:c16r2="http://schemas.microsoft.com/office/drawing/2015/06/chart">
            <c:ext xmlns:c16="http://schemas.microsoft.com/office/drawing/2014/chart" uri="{C3380CC4-5D6E-409C-BE32-E72D297353CC}">
              <c16:uniqueId val="{00000009-41DA-4660-9826-A3BA88C0F736}"/>
            </c:ext>
          </c:extLst>
        </c:ser>
        <c:dLbls>
          <c:dLblPos val="inEnd"/>
          <c:showLegendKey val="0"/>
          <c:showVal val="1"/>
          <c:showCatName val="0"/>
          <c:showSerName val="0"/>
          <c:showPercent val="0"/>
          <c:showBubbleSize val="0"/>
        </c:dLbls>
        <c:gapWidth val="150"/>
        <c:overlap val="100"/>
        <c:axId val="-805889568"/>
        <c:axId val="-805888480"/>
      </c:barChart>
      <c:catAx>
        <c:axId val="-805889568"/>
        <c:scaling>
          <c:orientation val="minMax"/>
        </c:scaling>
        <c:delete val="0"/>
        <c:axPos val="l"/>
        <c:numFmt formatCode="General" sourceLinked="0"/>
        <c:majorTickMark val="out"/>
        <c:minorTickMark val="none"/>
        <c:tickLblPos val="nextTo"/>
        <c:txPr>
          <a:bodyPr rot="0" vert="horz"/>
          <a:lstStyle/>
          <a:p>
            <a:pPr>
              <a:defRPr sz="800">
                <a:latin typeface="Times New Roman" panose="02020603050405020304" pitchFamily="18" charset="0"/>
                <a:cs typeface="Times New Roman" panose="02020603050405020304" pitchFamily="18" charset="0"/>
              </a:defRPr>
            </a:pPr>
            <a:endParaRPr lang="en-US"/>
          </a:p>
        </c:txPr>
        <c:crossAx val="-805888480"/>
        <c:crosses val="autoZero"/>
        <c:auto val="1"/>
        <c:lblAlgn val="ctr"/>
        <c:lblOffset val="100"/>
        <c:noMultiLvlLbl val="0"/>
      </c:catAx>
      <c:valAx>
        <c:axId val="-805888480"/>
        <c:scaling>
          <c:orientation val="minMax"/>
        </c:scaling>
        <c:delete val="0"/>
        <c:axPos val="b"/>
        <c:majorGridlines/>
        <c:numFmt formatCode="General" sourceLinked="1"/>
        <c:majorTickMark val="out"/>
        <c:minorTickMark val="none"/>
        <c:tickLblPos val="nextTo"/>
        <c:txPr>
          <a:bodyPr/>
          <a:lstStyle/>
          <a:p>
            <a:pPr>
              <a:defRPr sz="900"/>
            </a:pPr>
            <a:endParaRPr lang="en-US"/>
          </a:p>
        </c:txPr>
        <c:crossAx val="-805889568"/>
        <c:crosses val="autoZero"/>
        <c:crossBetween val="between"/>
      </c:valAx>
    </c:plotArea>
    <c:legend>
      <c:legendPos val="r"/>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ayout>
        <c:manualLayout>
          <c:xMode val="edge"/>
          <c:yMode val="edge"/>
          <c:x val="0.89985072178477687"/>
          <c:y val="0.41515429215415872"/>
          <c:w val="8.013868427736856E-2"/>
          <c:h val="0.13621780328306418"/>
        </c:manualLayout>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UE/EEA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numCache>
            </c:numRef>
          </c:cat>
          <c:val>
            <c:numRef>
              <c:f>Sheet1!$B$2:$B$12</c:f>
              <c:numCache>
                <c:formatCode>General</c:formatCode>
                <c:ptCount val="11"/>
                <c:pt idx="0">
                  <c:v>6.1</c:v>
                </c:pt>
                <c:pt idx="1">
                  <c:v>6.4</c:v>
                </c:pt>
                <c:pt idx="2">
                  <c:v>6.2</c:v>
                </c:pt>
                <c:pt idx="3">
                  <c:v>6.2</c:v>
                </c:pt>
                <c:pt idx="4">
                  <c:v>6.1</c:v>
                </c:pt>
                <c:pt idx="5">
                  <c:v>5.9</c:v>
                </c:pt>
                <c:pt idx="6">
                  <c:v>5.7</c:v>
                </c:pt>
                <c:pt idx="7">
                  <c:v>5.0999999999999996</c:v>
                </c:pt>
                <c:pt idx="8">
                  <c:v>4.9000000000000004</c:v>
                </c:pt>
                <c:pt idx="9">
                  <c:v>3.3</c:v>
                </c:pt>
              </c:numCache>
            </c:numRef>
          </c:val>
          <c:smooth val="0"/>
          <c:extLst xmlns:c16r2="http://schemas.microsoft.com/office/drawing/2015/06/chart">
            <c:ext xmlns:c16="http://schemas.microsoft.com/office/drawing/2014/chart" uri="{C3380CC4-5D6E-409C-BE32-E72D297353CC}">
              <c16:uniqueId val="{00000000-9D2C-40B4-86C2-0EEFBE6B1859}"/>
            </c:ext>
          </c:extLst>
        </c:ser>
        <c:ser>
          <c:idx val="1"/>
          <c:order val="1"/>
          <c:tx>
            <c:strRef>
              <c:f>Sheet1!$C$1</c:f>
              <c:strCache>
                <c:ptCount val="1"/>
                <c:pt idx="0">
                  <c:v>România</c:v>
                </c:pt>
              </c:strCache>
            </c:strRef>
          </c:tx>
          <c:dLbls>
            <c:dLbl>
              <c:idx val="0"/>
              <c:layout>
                <c:manualLayout>
                  <c:x val="-3.2019721493146677E-2"/>
                  <c:y val="0.137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9704906678331876E-2"/>
                  <c:y val="0.1162397900262467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649351122776321E-2"/>
                  <c:y val="0.105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334536307961502E-2"/>
                  <c:y val="0.14823979002624671"/>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359379556722081E-2"/>
                  <c:y val="0.105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2488517060367456E-2"/>
                  <c:y val="0.1162397900262467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6649351122776321E-2"/>
                  <c:y val="0.105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6649351122776321E-2"/>
                  <c:y val="0.105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6649351122776237E-2"/>
                  <c:y val="0.13757312335958016"/>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556758530183812E-3"/>
                  <c:y val="6.290645669291337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numCache>
            </c:numRef>
          </c:cat>
          <c:val>
            <c:numRef>
              <c:f>Sheet1!$C$2:$C$12</c:f>
              <c:numCache>
                <c:formatCode>General</c:formatCode>
                <c:ptCount val="11"/>
                <c:pt idx="0">
                  <c:v>4.2</c:v>
                </c:pt>
                <c:pt idx="1">
                  <c:v>4.7</c:v>
                </c:pt>
                <c:pt idx="2">
                  <c:v>5.0999999999999996</c:v>
                </c:pt>
                <c:pt idx="3">
                  <c:v>4.5999999999999996</c:v>
                </c:pt>
                <c:pt idx="4">
                  <c:v>4.5</c:v>
                </c:pt>
                <c:pt idx="5">
                  <c:v>4</c:v>
                </c:pt>
                <c:pt idx="6">
                  <c:v>4.0999999999999996</c:v>
                </c:pt>
                <c:pt idx="7">
                  <c:v>3.9</c:v>
                </c:pt>
                <c:pt idx="8">
                  <c:v>3.8</c:v>
                </c:pt>
                <c:pt idx="9">
                  <c:v>2.2999999999999998</c:v>
                </c:pt>
              </c:numCache>
            </c:numRef>
          </c:val>
          <c:smooth val="0"/>
          <c:extLst xmlns:c16r2="http://schemas.microsoft.com/office/drawing/2015/06/chart">
            <c:ext xmlns:c16="http://schemas.microsoft.com/office/drawing/2014/chart" uri="{C3380CC4-5D6E-409C-BE32-E72D297353CC}">
              <c16:uniqueId val="{00000001-9D2C-40B4-86C2-0EEFBE6B1859}"/>
            </c:ext>
          </c:extLst>
        </c:ser>
        <c:ser>
          <c:idx val="2"/>
          <c:order val="2"/>
          <c:tx>
            <c:strRef>
              <c:f>Sheet1!$D$1</c:f>
              <c:strCache>
                <c:ptCount val="1"/>
                <c:pt idx="0">
                  <c:v>Column1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numCache>
            </c:numRef>
          </c:cat>
          <c:val>
            <c:numRef>
              <c:f>Sheet1!$D$2:$D$12</c:f>
              <c:numCache>
                <c:formatCode>General</c:formatCode>
                <c:ptCount val="11"/>
              </c:numCache>
            </c:numRef>
          </c:val>
          <c:smooth val="0"/>
          <c:extLst xmlns:c16r2="http://schemas.microsoft.com/office/drawing/2015/06/chart">
            <c:ext xmlns:c16="http://schemas.microsoft.com/office/drawing/2014/chart" uri="{C3380CC4-5D6E-409C-BE32-E72D297353CC}">
              <c16:uniqueId val="{00000002-9D2C-40B4-86C2-0EEFBE6B1859}"/>
            </c:ext>
          </c:extLst>
        </c:ser>
        <c:dLbls>
          <c:dLblPos val="t"/>
          <c:showLegendKey val="0"/>
          <c:showVal val="1"/>
          <c:showCatName val="0"/>
          <c:showSerName val="0"/>
          <c:showPercent val="0"/>
          <c:showBubbleSize val="0"/>
        </c:dLbls>
        <c:marker val="1"/>
        <c:smooth val="0"/>
        <c:axId val="-913956240"/>
        <c:axId val="-913968208"/>
      </c:lineChart>
      <c:catAx>
        <c:axId val="-913956240"/>
        <c:scaling>
          <c:orientation val="minMax"/>
        </c:scaling>
        <c:delete val="0"/>
        <c:axPos val="b"/>
        <c:numFmt formatCode="General" sourceLinked="1"/>
        <c:majorTickMark val="out"/>
        <c:minorTickMark val="none"/>
        <c:tickLblPos val="nextTo"/>
        <c:txPr>
          <a:bodyPr/>
          <a:lstStyle/>
          <a:p>
            <a:pPr>
              <a:defRPr b="1"/>
            </a:pPr>
            <a:endParaRPr lang="en-US"/>
          </a:p>
        </c:txPr>
        <c:crossAx val="-913968208"/>
        <c:crosses val="autoZero"/>
        <c:auto val="1"/>
        <c:lblAlgn val="ctr"/>
        <c:lblOffset val="100"/>
        <c:noMultiLvlLbl val="0"/>
      </c:catAx>
      <c:valAx>
        <c:axId val="-91396820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913956240"/>
        <c:crosses val="autoZero"/>
        <c:crossBetween val="between"/>
      </c:valAx>
    </c:plotArea>
    <c:legend>
      <c:legendPos val="r"/>
      <c:legendEntry>
        <c:idx val="2"/>
        <c:delete val="1"/>
      </c:legendEntry>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22484689413823"/>
          <c:y val="2.6679364863409355E-2"/>
          <c:w val="0.76742217118693501"/>
          <c:h val="0.91552751370441543"/>
        </c:manualLayout>
      </c:layout>
      <c:barChart>
        <c:barDir val="bar"/>
        <c:grouping val="stacked"/>
        <c:varyColors val="0"/>
        <c:ser>
          <c:idx val="0"/>
          <c:order val="0"/>
          <c:tx>
            <c:strRef>
              <c:f>Sheet1!$B$1</c:f>
              <c:strCache>
                <c:ptCount val="1"/>
                <c:pt idx="0">
                  <c:v>2011</c:v>
                </c:pt>
              </c:strCache>
            </c:strRef>
          </c:tx>
          <c:spPr>
            <a:solidFill>
              <a:schemeClr val="accent6">
                <a:lumMod val="60000"/>
                <a:lumOff val="40000"/>
              </a:schemeClr>
            </a:solidFill>
          </c:spPr>
          <c:invertIfNegative val="0"/>
          <c:dLbls>
            <c:dLbl>
              <c:idx val="3"/>
              <c:delete val="1"/>
              <c:extLst>
                <c:ext xmlns:c15="http://schemas.microsoft.com/office/drawing/2012/chart" uri="{CE6537A1-D6FC-4f65-9D91-7224C49458BB}"/>
              </c:extLst>
            </c:dLbl>
            <c:dLbl>
              <c:idx val="4"/>
              <c:layout>
                <c:manualLayout>
                  <c:x val="-1.269229367162438E-2"/>
                  <c:y val="-1.016389274985379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1009040536599592E-4"/>
                  <c:y val="1.016389274985379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9.9281860600758235E-4"/>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9.4424394867308262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151738845144357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layout>
                <c:manualLayout>
                  <c:x val="3.9893372703412075E-2"/>
                  <c:y val="-1.663201663201663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1.0426509186351728E-2"/>
                  <c:y val="-1.663201663201663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1.8646106736657918E-4"/>
                  <c:y val="-5.54400554400554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6.6663021289005586E-2"/>
                  <c:y val="-1.940401940401939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Sheet1!$B$2:$B$30</c:f>
              <c:numCache>
                <c:formatCode>General</c:formatCode>
                <c:ptCount val="29"/>
                <c:pt idx="0">
                  <c:v>0.8</c:v>
                </c:pt>
                <c:pt idx="1">
                  <c:v>1.53</c:v>
                </c:pt>
                <c:pt idx="2">
                  <c:v>0.99</c:v>
                </c:pt>
                <c:pt idx="3">
                  <c:v>0</c:v>
                </c:pt>
                <c:pt idx="4">
                  <c:v>1.1299999999999999</c:v>
                </c:pt>
                <c:pt idx="5">
                  <c:v>0.51</c:v>
                </c:pt>
                <c:pt idx="6">
                  <c:v>0.82</c:v>
                </c:pt>
                <c:pt idx="7">
                  <c:v>0.91</c:v>
                </c:pt>
                <c:pt idx="8">
                  <c:v>0.41</c:v>
                </c:pt>
                <c:pt idx="9">
                  <c:v>0.3</c:v>
                </c:pt>
                <c:pt idx="10">
                  <c:v>0.66</c:v>
                </c:pt>
                <c:pt idx="11">
                  <c:v>1.35</c:v>
                </c:pt>
                <c:pt idx="12">
                  <c:v>0.69</c:v>
                </c:pt>
                <c:pt idx="13">
                  <c:v>0</c:v>
                </c:pt>
                <c:pt idx="14">
                  <c:v>0.67</c:v>
                </c:pt>
                <c:pt idx="15">
                  <c:v>0.6</c:v>
                </c:pt>
                <c:pt idx="16">
                  <c:v>1.28</c:v>
                </c:pt>
                <c:pt idx="17">
                  <c:v>0</c:v>
                </c:pt>
                <c:pt idx="18">
                  <c:v>0</c:v>
                </c:pt>
                <c:pt idx="19">
                  <c:v>4.1500000000000004</c:v>
                </c:pt>
                <c:pt idx="20">
                  <c:v>0.55000000000000004</c:v>
                </c:pt>
                <c:pt idx="21">
                  <c:v>0.63</c:v>
                </c:pt>
                <c:pt idx="22">
                  <c:v>0.66</c:v>
                </c:pt>
                <c:pt idx="23">
                  <c:v>2.73</c:v>
                </c:pt>
                <c:pt idx="24">
                  <c:v>1.78</c:v>
                </c:pt>
                <c:pt idx="25">
                  <c:v>0</c:v>
                </c:pt>
                <c:pt idx="26">
                  <c:v>0.57999999999999996</c:v>
                </c:pt>
                <c:pt idx="27">
                  <c:v>4.7699999999999996</c:v>
                </c:pt>
              </c:numCache>
            </c:numRef>
          </c:val>
          <c:extLst xmlns:c16r2="http://schemas.microsoft.com/office/drawing/2015/06/chart">
            <c:ext xmlns:c16="http://schemas.microsoft.com/office/drawing/2014/chart" uri="{C3380CC4-5D6E-409C-BE32-E72D297353CC}">
              <c16:uniqueId val="{00000000-41DA-4660-9826-A3BA88C0F736}"/>
            </c:ext>
          </c:extLst>
        </c:ser>
        <c:ser>
          <c:idx val="1"/>
          <c:order val="1"/>
          <c:tx>
            <c:strRef>
              <c:f>Sheet1!$C$1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Sheet1!$C$2:$C$30</c:f>
              <c:numCache>
                <c:formatCode>General</c:formatCode>
                <c:ptCount val="29"/>
              </c:numCache>
            </c:numRef>
          </c:val>
          <c:extLst xmlns:c16r2="http://schemas.microsoft.com/office/drawing/2015/06/chart">
            <c:ext xmlns:c16="http://schemas.microsoft.com/office/drawing/2014/chart" uri="{C3380CC4-5D6E-409C-BE32-E72D297353CC}">
              <c16:uniqueId val="{00000001-41DA-4660-9826-A3BA88C0F736}"/>
            </c:ext>
          </c:extLst>
        </c:ser>
        <c:ser>
          <c:idx val="2"/>
          <c:order val="2"/>
          <c:tx>
            <c:strRef>
              <c:f>Sheet1!$D$1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Sheet1!$D$2:$D$30</c:f>
              <c:numCache>
                <c:formatCode>General</c:formatCode>
                <c:ptCount val="29"/>
              </c:numCache>
            </c:numRef>
          </c:val>
          <c:extLst xmlns:c16r2="http://schemas.microsoft.com/office/drawing/2015/06/chart">
            <c:ext xmlns:c16="http://schemas.microsoft.com/office/drawing/2014/chart" uri="{C3380CC4-5D6E-409C-BE32-E72D297353CC}">
              <c16:uniqueId val="{00000002-41DA-4660-9826-A3BA88C0F736}"/>
            </c:ext>
          </c:extLst>
        </c:ser>
        <c:ser>
          <c:idx val="3"/>
          <c:order val="3"/>
          <c:tx>
            <c:strRef>
              <c:f>Sheet1!$E$1</c:f>
              <c:strCache>
                <c:ptCount val="1"/>
                <c:pt idx="0">
                  <c:v>Column3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Sheet1!$E$2:$E$30</c:f>
              <c:numCache>
                <c:formatCode>General</c:formatCode>
                <c:ptCount val="29"/>
              </c:numCache>
            </c:numRef>
          </c:val>
          <c:extLst xmlns:c16r2="http://schemas.microsoft.com/office/drawing/2015/06/chart">
            <c:ext xmlns:c16="http://schemas.microsoft.com/office/drawing/2014/chart" uri="{C3380CC4-5D6E-409C-BE32-E72D297353CC}">
              <c16:uniqueId val="{00000003-41DA-4660-9826-A3BA88C0F736}"/>
            </c:ext>
          </c:extLst>
        </c:ser>
        <c:ser>
          <c:idx val="4"/>
          <c:order val="4"/>
          <c:tx>
            <c:strRef>
              <c:f>Sheet1!$F$1</c:f>
              <c:strCache>
                <c:ptCount val="1"/>
                <c:pt idx="0">
                  <c:v>Column4</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Sheet1!$F$2:$F$30</c:f>
              <c:numCache>
                <c:formatCode>General</c:formatCode>
                <c:ptCount val="29"/>
              </c:numCache>
            </c:numRef>
          </c:val>
          <c:extLst xmlns:c16r2="http://schemas.microsoft.com/office/drawing/2015/06/chart">
            <c:ext xmlns:c16="http://schemas.microsoft.com/office/drawing/2014/chart" uri="{C3380CC4-5D6E-409C-BE32-E72D297353CC}">
              <c16:uniqueId val="{00000004-41DA-4660-9826-A3BA88C0F736}"/>
            </c:ext>
          </c:extLst>
        </c:ser>
        <c:ser>
          <c:idx val="5"/>
          <c:order val="5"/>
          <c:tx>
            <c:strRef>
              <c:f>Sheet1!$G$1</c:f>
              <c:strCache>
                <c:ptCount val="1"/>
                <c:pt idx="0">
                  <c:v>2016</c:v>
                </c:pt>
              </c:strCache>
            </c:strRef>
          </c:tx>
          <c:spPr>
            <a:solidFill>
              <a:schemeClr val="tx2">
                <a:lumMod val="40000"/>
                <a:lumOff val="60000"/>
              </a:schemeClr>
            </a:solidFill>
          </c:spPr>
          <c:invertIfNegative val="0"/>
          <c:dLbls>
            <c:dLbl>
              <c:idx val="0"/>
              <c:layout>
                <c:manualLayout>
                  <c:x val="-7.4948964712744245E-4"/>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layout>
                <c:manualLayout>
                  <c:x val="1.2270341207349102E-2"/>
                  <c:y val="1.016389274985379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4.4963910761154644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1.0032079323417906E-2"/>
                  <c:y val="-8.316008316008316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8.935367454068241E-2"/>
                  <c:y val="2.77200277200277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524606299212577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1.0734361329833771E-2"/>
                  <c:y val="-1.663201663201663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layout>
                <c:manualLayout>
                  <c:x val="4.027759550889474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5.5522018081073196E-2"/>
                  <c:y val="5.0819463749268994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0.12661253280839896"/>
                  <c:y val="2.77200277200277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8.3196631671041115E-3"/>
                  <c:y val="-2.77200277200277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3.6120771361913093E-2"/>
                  <c:y val="2.77200277200277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1"/>
              <c:layout>
                <c:manualLayout>
                  <c:x val="-4.6004666083406245E-3"/>
                  <c:y val="-1.108801108801108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2"/>
              <c:layout>
                <c:manualLayout>
                  <c:x val="4.9689960629921259E-2"/>
                  <c:y val="5.54400554400554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6"/>
              <c:layout>
                <c:manualLayout>
                  <c:x val="1.2131087780694079E-2"/>
                  <c:y val="-8.316008316008316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4.4197287839020119E-2"/>
                  <c:y val="-3.049203049203048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Sheet1!$G$2:$G$30</c:f>
              <c:numCache>
                <c:formatCode>General</c:formatCode>
                <c:ptCount val="29"/>
                <c:pt idx="0">
                  <c:v>0.49</c:v>
                </c:pt>
                <c:pt idx="1">
                  <c:v>0.88</c:v>
                </c:pt>
                <c:pt idx="2">
                  <c:v>0</c:v>
                </c:pt>
                <c:pt idx="3">
                  <c:v>0.7</c:v>
                </c:pt>
                <c:pt idx="4">
                  <c:v>0.41</c:v>
                </c:pt>
                <c:pt idx="5">
                  <c:v>0.68</c:v>
                </c:pt>
                <c:pt idx="6">
                  <c:v>0</c:v>
                </c:pt>
                <c:pt idx="7">
                  <c:v>0.59</c:v>
                </c:pt>
                <c:pt idx="8">
                  <c:v>0.61</c:v>
                </c:pt>
                <c:pt idx="9">
                  <c:v>1.86</c:v>
                </c:pt>
                <c:pt idx="10">
                  <c:v>0.52</c:v>
                </c:pt>
                <c:pt idx="11">
                  <c:v>0</c:v>
                </c:pt>
                <c:pt idx="12">
                  <c:v>0.27</c:v>
                </c:pt>
                <c:pt idx="13">
                  <c:v>0</c:v>
                </c:pt>
                <c:pt idx="14">
                  <c:v>1.64</c:v>
                </c:pt>
                <c:pt idx="15">
                  <c:v>0.47</c:v>
                </c:pt>
                <c:pt idx="16">
                  <c:v>0</c:v>
                </c:pt>
                <c:pt idx="17">
                  <c:v>0.44</c:v>
                </c:pt>
                <c:pt idx="18">
                  <c:v>3.17</c:v>
                </c:pt>
                <c:pt idx="19">
                  <c:v>0.76</c:v>
                </c:pt>
                <c:pt idx="20">
                  <c:v>0.34</c:v>
                </c:pt>
                <c:pt idx="21">
                  <c:v>0.08</c:v>
                </c:pt>
                <c:pt idx="22">
                  <c:v>0.33</c:v>
                </c:pt>
                <c:pt idx="23">
                  <c:v>0.89</c:v>
                </c:pt>
                <c:pt idx="24">
                  <c:v>0</c:v>
                </c:pt>
                <c:pt idx="25">
                  <c:v>0</c:v>
                </c:pt>
                <c:pt idx="26">
                  <c:v>1.1100000000000001</c:v>
                </c:pt>
                <c:pt idx="27">
                  <c:v>2.33</c:v>
                </c:pt>
              </c:numCache>
            </c:numRef>
          </c:val>
          <c:extLst xmlns:c16r2="http://schemas.microsoft.com/office/drawing/2015/06/chart">
            <c:ext xmlns:c16="http://schemas.microsoft.com/office/drawing/2014/chart" uri="{C3380CC4-5D6E-409C-BE32-E72D297353CC}">
              <c16:uniqueId val="{00000005-41DA-4660-9826-A3BA88C0F736}"/>
            </c:ext>
          </c:extLst>
        </c:ser>
        <c:ser>
          <c:idx val="6"/>
          <c:order val="6"/>
          <c:tx>
            <c:strRef>
              <c:f>Sheet1!$H$1</c:f>
              <c:strCache>
                <c:ptCount val="1"/>
                <c:pt idx="0">
                  <c:v>Column5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Sheet1!$H$2:$H$30</c:f>
              <c:numCache>
                <c:formatCode>General</c:formatCode>
                <c:ptCount val="29"/>
              </c:numCache>
            </c:numRef>
          </c:val>
          <c:extLst xmlns:c16r2="http://schemas.microsoft.com/office/drawing/2015/06/chart">
            <c:ext xmlns:c16="http://schemas.microsoft.com/office/drawing/2014/chart" uri="{C3380CC4-5D6E-409C-BE32-E72D297353CC}">
              <c16:uniqueId val="{00000006-41DA-4660-9826-A3BA88C0F736}"/>
            </c:ext>
          </c:extLst>
        </c:ser>
        <c:ser>
          <c:idx val="7"/>
          <c:order val="7"/>
          <c:tx>
            <c:strRef>
              <c:f>Sheet1!$I$1</c:f>
              <c:strCache>
                <c:ptCount val="1"/>
                <c:pt idx="0">
                  <c:v>Column6</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Sheet1!$I$2:$I$30</c:f>
              <c:numCache>
                <c:formatCode>General</c:formatCode>
                <c:ptCount val="29"/>
              </c:numCache>
            </c:numRef>
          </c:val>
          <c:extLst xmlns:c16r2="http://schemas.microsoft.com/office/drawing/2015/06/chart">
            <c:ext xmlns:c16="http://schemas.microsoft.com/office/drawing/2014/chart" uri="{C3380CC4-5D6E-409C-BE32-E72D297353CC}">
              <c16:uniqueId val="{00000007-41DA-4660-9826-A3BA88C0F736}"/>
            </c:ext>
          </c:extLst>
        </c:ser>
        <c:ser>
          <c:idx val="8"/>
          <c:order val="8"/>
          <c:tx>
            <c:strRef>
              <c:f>Sheet1!$J$1</c:f>
              <c:strCache>
                <c:ptCount val="1"/>
                <c:pt idx="0">
                  <c:v>Column7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Sheet1!$J$2:$J$30</c:f>
              <c:numCache>
                <c:formatCode>General</c:formatCode>
                <c:ptCount val="29"/>
              </c:numCache>
            </c:numRef>
          </c:val>
          <c:extLst xmlns:c16r2="http://schemas.microsoft.com/office/drawing/2015/06/chart">
            <c:ext xmlns:c16="http://schemas.microsoft.com/office/drawing/2014/chart" uri="{C3380CC4-5D6E-409C-BE32-E72D297353CC}">
              <c16:uniqueId val="{00000008-41DA-4660-9826-A3BA88C0F736}"/>
            </c:ext>
          </c:extLst>
        </c:ser>
        <c:ser>
          <c:idx val="9"/>
          <c:order val="9"/>
          <c:tx>
            <c:strRef>
              <c:f>Sheet1!$K$1</c:f>
              <c:strCache>
                <c:ptCount val="1"/>
                <c:pt idx="0">
                  <c:v>2020</c:v>
                </c:pt>
              </c:strCache>
            </c:strRef>
          </c:tx>
          <c:spPr>
            <a:solidFill>
              <a:schemeClr val="accent4">
                <a:lumMod val="60000"/>
                <a:lumOff val="40000"/>
              </a:schemeClr>
            </a:solidFill>
          </c:spPr>
          <c:invertIfNegative val="0"/>
          <c:dLbls>
            <c:dLbl>
              <c:idx val="0"/>
              <c:layout>
                <c:manualLayout>
                  <c:x val="3.3180227471566057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layout>
                <c:manualLayout>
                  <c:x val="2.3434310294546516E-2"/>
                  <c:y val="1.016389274985379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797371682706328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8985673665791774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4.5713582677165354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5.87195610965296E-2"/>
                  <c:y val="-5.54400554400554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layout>
                <c:manualLayout>
                  <c:x val="2.1668853893263344E-2"/>
                  <c:y val="-8.316008316008316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layout>
                <c:manualLayout>
                  <c:x val="6.2132910469524641E-2"/>
                  <c:y val="2.77200277200277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layout>
                <c:manualLayout>
                  <c:x val="7.7765930300379121E-2"/>
                  <c:y val="2.772002772002746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5.1030912802566303E-2"/>
                  <c:y val="-4.15800415800415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4.3961614173228344E-2"/>
                  <c:y val="2.772002772002759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5.4326516477106943E-2"/>
                  <c:y val="-2.494802494802494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Sheet1!$K$2:$K$30</c:f>
              <c:numCache>
                <c:formatCode>General</c:formatCode>
                <c:ptCount val="29"/>
                <c:pt idx="0">
                  <c:v>0.61</c:v>
                </c:pt>
                <c:pt idx="1">
                  <c:v>1.51</c:v>
                </c:pt>
                <c:pt idx="2">
                  <c:v>2.0099999999999998</c:v>
                </c:pt>
                <c:pt idx="3">
                  <c:v>0</c:v>
                </c:pt>
                <c:pt idx="4">
                  <c:v>1.24</c:v>
                </c:pt>
                <c:pt idx="5">
                  <c:v>0.45</c:v>
                </c:pt>
                <c:pt idx="6">
                  <c:v>2.1</c:v>
                </c:pt>
                <c:pt idx="7">
                  <c:v>0.23</c:v>
                </c:pt>
                <c:pt idx="8">
                  <c:v>0.5</c:v>
                </c:pt>
                <c:pt idx="9">
                  <c:v>0</c:v>
                </c:pt>
                <c:pt idx="10">
                  <c:v>0.64</c:v>
                </c:pt>
                <c:pt idx="11">
                  <c:v>1.31</c:v>
                </c:pt>
                <c:pt idx="12">
                  <c:v>0.54</c:v>
                </c:pt>
                <c:pt idx="13">
                  <c:v>0</c:v>
                </c:pt>
                <c:pt idx="14">
                  <c:v>1.95</c:v>
                </c:pt>
                <c:pt idx="15">
                  <c:v>0</c:v>
                </c:pt>
                <c:pt idx="16">
                  <c:v>2.27</c:v>
                </c:pt>
                <c:pt idx="17">
                  <c:v>0</c:v>
                </c:pt>
                <c:pt idx="18">
                  <c:v>0</c:v>
                </c:pt>
                <c:pt idx="19">
                  <c:v>0.25</c:v>
                </c:pt>
                <c:pt idx="20">
                  <c:v>0</c:v>
                </c:pt>
                <c:pt idx="21">
                  <c:v>0.14000000000000001</c:v>
                </c:pt>
                <c:pt idx="22">
                  <c:v>0</c:v>
                </c:pt>
                <c:pt idx="23">
                  <c:v>1.57</c:v>
                </c:pt>
                <c:pt idx="24">
                  <c:v>3.7</c:v>
                </c:pt>
                <c:pt idx="25">
                  <c:v>0</c:v>
                </c:pt>
                <c:pt idx="26">
                  <c:v>0.73</c:v>
                </c:pt>
                <c:pt idx="27">
                  <c:v>2.5</c:v>
                </c:pt>
              </c:numCache>
            </c:numRef>
          </c:val>
          <c:extLst xmlns:c16r2="http://schemas.microsoft.com/office/drawing/2015/06/chart">
            <c:ext xmlns:c16="http://schemas.microsoft.com/office/drawing/2014/chart" uri="{C3380CC4-5D6E-409C-BE32-E72D297353CC}">
              <c16:uniqueId val="{00000009-41DA-4660-9826-A3BA88C0F736}"/>
            </c:ext>
          </c:extLst>
        </c:ser>
        <c:dLbls>
          <c:dLblPos val="inEnd"/>
          <c:showLegendKey val="0"/>
          <c:showVal val="1"/>
          <c:showCatName val="0"/>
          <c:showSerName val="0"/>
          <c:showPercent val="0"/>
          <c:showBubbleSize val="0"/>
        </c:dLbls>
        <c:gapWidth val="150"/>
        <c:overlap val="100"/>
        <c:axId val="-913960048"/>
        <c:axId val="-913954064"/>
      </c:barChart>
      <c:catAx>
        <c:axId val="-913960048"/>
        <c:scaling>
          <c:orientation val="minMax"/>
        </c:scaling>
        <c:delete val="0"/>
        <c:axPos val="l"/>
        <c:numFmt formatCode="General" sourceLinked="0"/>
        <c:majorTickMark val="out"/>
        <c:minorTickMark val="none"/>
        <c:tickLblPos val="nextTo"/>
        <c:txPr>
          <a:bodyPr/>
          <a:lstStyle/>
          <a:p>
            <a:pPr>
              <a:defRPr sz="800" baseline="0">
                <a:latin typeface="Times New Roman" panose="02020603050405020304" pitchFamily="18" charset="0"/>
                <a:cs typeface="Times New Roman" panose="02020603050405020304" pitchFamily="18" charset="0"/>
              </a:defRPr>
            </a:pPr>
            <a:endParaRPr lang="en-US"/>
          </a:p>
        </c:txPr>
        <c:crossAx val="-913954064"/>
        <c:crosses val="autoZero"/>
        <c:auto val="1"/>
        <c:lblAlgn val="ctr"/>
        <c:lblOffset val="100"/>
        <c:noMultiLvlLbl val="0"/>
      </c:catAx>
      <c:valAx>
        <c:axId val="-913954064"/>
        <c:scaling>
          <c:orientation val="minMax"/>
        </c:scaling>
        <c:delete val="0"/>
        <c:axPos val="b"/>
        <c:majorGridlines/>
        <c:numFmt formatCode="General" sourceLinked="1"/>
        <c:majorTickMark val="out"/>
        <c:minorTickMark val="none"/>
        <c:tickLblPos val="nextTo"/>
        <c:txPr>
          <a:bodyPr/>
          <a:lstStyle/>
          <a:p>
            <a:pPr>
              <a:defRPr sz="900"/>
            </a:pPr>
            <a:endParaRPr lang="en-US"/>
          </a:p>
        </c:txPr>
        <c:crossAx val="-913960048"/>
        <c:crosses val="autoZero"/>
        <c:crossBetween val="between"/>
      </c:valAx>
    </c:plotArea>
    <c:legend>
      <c:legendPos val="r"/>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ayout>
        <c:manualLayout>
          <c:xMode val="edge"/>
          <c:yMode val="edge"/>
          <c:x val="0.89522109215514722"/>
          <c:y val="0.35002197895994708"/>
          <c:w val="8.6260389326334203E-2"/>
          <c:h val="0.15037765809419354"/>
        </c:manualLayout>
      </c:layou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UE/EEA</c:v>
                </c:pt>
              </c:strCache>
            </c:strRef>
          </c:tx>
          <c:dLbls>
            <c:dLbl>
              <c:idx val="1"/>
              <c:layout>
                <c:manualLayout>
                  <c:x val="-4.0451480023330419E-2"/>
                  <c:y val="-7.49891362917383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0451480023330419E-2"/>
                  <c:y val="-8.3819158366793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0451480023330419E-2"/>
                  <c:y val="-9.26491804418487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0451480023330461E-2"/>
                  <c:y val="-8.3819158366793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3507035578885971E-2"/>
                  <c:y val="-8.38191583667935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507035578885971E-2"/>
                  <c:y val="-4.84990700665728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451480023330419E-2"/>
                  <c:y val="-4.84990700665728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1">
                  <c:v>0.8</c:v>
                </c:pt>
                <c:pt idx="2">
                  <c:v>0.72</c:v>
                </c:pt>
                <c:pt idx="3">
                  <c:v>0.66</c:v>
                </c:pt>
                <c:pt idx="4">
                  <c:v>0.68</c:v>
                </c:pt>
                <c:pt idx="5">
                  <c:v>0.7</c:v>
                </c:pt>
                <c:pt idx="6">
                  <c:v>0.49</c:v>
                </c:pt>
                <c:pt idx="7">
                  <c:v>0.51</c:v>
                </c:pt>
                <c:pt idx="8">
                  <c:v>0.64</c:v>
                </c:pt>
                <c:pt idx="9">
                  <c:v>0.56999999999999995</c:v>
                </c:pt>
                <c:pt idx="10">
                  <c:v>0.61</c:v>
                </c:pt>
              </c:numCache>
            </c:numRef>
          </c:val>
          <c:smooth val="0"/>
          <c:extLst xmlns:c16r2="http://schemas.microsoft.com/office/drawing/2015/06/chart">
            <c:ext xmlns:c16="http://schemas.microsoft.com/office/drawing/2014/chart" uri="{C3380CC4-5D6E-409C-BE32-E72D297353CC}">
              <c16:uniqueId val="{00000000-1F14-4DF1-8F01-783B1DEEE49D}"/>
            </c:ext>
          </c:extLst>
        </c:ser>
        <c:ser>
          <c:idx val="1"/>
          <c:order val="1"/>
          <c:tx>
            <c:strRef>
              <c:f>Sheet1!$C$1</c:f>
              <c:strCache>
                <c:ptCount val="1"/>
                <c:pt idx="0">
                  <c:v>Romania</c:v>
                </c:pt>
              </c:strCache>
            </c:strRef>
          </c:tx>
          <c:dLbls>
            <c:dLbl>
              <c:idx val="3"/>
              <c:layout>
                <c:manualLayout>
                  <c:x val="-4.739592446777486E-2"/>
                  <c:y val="0.11044132728442058"/>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0451480023330461E-2"/>
                  <c:y val="-0.10147920251690393"/>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0451480023330419E-2"/>
                  <c:y val="-9.26491804418487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2118146689997082E-2"/>
                  <c:y val="-8.3819158366793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0451480023330329E-2"/>
                  <c:y val="-9.26491804418487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8877405949256429E-2"/>
                  <c:y val="-7.498913629173832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General</c:formatCode>
                <c:ptCount val="11"/>
                <c:pt idx="1">
                  <c:v>2.73</c:v>
                </c:pt>
                <c:pt idx="2">
                  <c:v>2.0099999999999998</c:v>
                </c:pt>
                <c:pt idx="3">
                  <c:v>2.34</c:v>
                </c:pt>
                <c:pt idx="4">
                  <c:v>1.97</c:v>
                </c:pt>
                <c:pt idx="5">
                  <c:v>2.02</c:v>
                </c:pt>
                <c:pt idx="6">
                  <c:v>0.89</c:v>
                </c:pt>
                <c:pt idx="7">
                  <c:v>1.85</c:v>
                </c:pt>
                <c:pt idx="8">
                  <c:v>1.19</c:v>
                </c:pt>
                <c:pt idx="9">
                  <c:v>1.47</c:v>
                </c:pt>
                <c:pt idx="10">
                  <c:v>1.57</c:v>
                </c:pt>
              </c:numCache>
            </c:numRef>
          </c:val>
          <c:smooth val="0"/>
          <c:extLst xmlns:c16r2="http://schemas.microsoft.com/office/drawing/2015/06/chart">
            <c:ext xmlns:c16="http://schemas.microsoft.com/office/drawing/2014/chart" uri="{C3380CC4-5D6E-409C-BE32-E72D297353CC}">
              <c16:uniqueId val="{00000001-1F14-4DF1-8F01-783B1DEEE49D}"/>
            </c:ext>
          </c:extLst>
        </c:ser>
        <c:ser>
          <c:idx val="2"/>
          <c:order val="2"/>
          <c:tx>
            <c:strRef>
              <c:f>Sheet1!$D$1</c:f>
              <c:strCache>
                <c:ptCount val="1"/>
                <c:pt idx="0">
                  <c:v>Column1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1">
                  <c:v>2011</c:v>
                </c:pt>
                <c:pt idx="2">
                  <c:v>2012</c:v>
                </c:pt>
                <c:pt idx="3">
                  <c:v>2013</c:v>
                </c:pt>
                <c:pt idx="4">
                  <c:v>2014</c:v>
                </c:pt>
                <c:pt idx="5">
                  <c:v>2015</c:v>
                </c:pt>
                <c:pt idx="6">
                  <c:v>2016</c:v>
                </c:pt>
                <c:pt idx="7">
                  <c:v>2017</c:v>
                </c:pt>
                <c:pt idx="8">
                  <c:v>2018</c:v>
                </c:pt>
                <c:pt idx="9">
                  <c:v>2019</c:v>
                </c:pt>
                <c:pt idx="10">
                  <c:v>2020</c:v>
                </c:pt>
              </c:numCache>
            </c:numRef>
          </c:cat>
          <c:val>
            <c:numRef>
              <c:f>Sheet1!$D$2:$D$12</c:f>
              <c:numCache>
                <c:formatCode>General</c:formatCode>
                <c:ptCount val="11"/>
              </c:numCache>
            </c:numRef>
          </c:val>
          <c:smooth val="0"/>
          <c:extLst xmlns:c16r2="http://schemas.microsoft.com/office/drawing/2015/06/chart">
            <c:ext xmlns:c16="http://schemas.microsoft.com/office/drawing/2014/chart" uri="{C3380CC4-5D6E-409C-BE32-E72D297353CC}">
              <c16:uniqueId val="{00000002-1F14-4DF1-8F01-783B1DEEE49D}"/>
            </c:ext>
          </c:extLst>
        </c:ser>
        <c:dLbls>
          <c:dLblPos val="t"/>
          <c:showLegendKey val="0"/>
          <c:showVal val="1"/>
          <c:showCatName val="0"/>
          <c:showSerName val="0"/>
          <c:showPercent val="0"/>
          <c:showBubbleSize val="0"/>
        </c:dLbls>
        <c:marker val="1"/>
        <c:smooth val="0"/>
        <c:axId val="-913958416"/>
        <c:axId val="-913968752"/>
      </c:lineChart>
      <c:catAx>
        <c:axId val="-913958416"/>
        <c:scaling>
          <c:orientation val="minMax"/>
        </c:scaling>
        <c:delete val="0"/>
        <c:axPos val="b"/>
        <c:numFmt formatCode="General" sourceLinked="1"/>
        <c:majorTickMark val="out"/>
        <c:minorTickMark val="none"/>
        <c:tickLblPos val="nextTo"/>
        <c:crossAx val="-913968752"/>
        <c:crosses val="autoZero"/>
        <c:auto val="1"/>
        <c:lblAlgn val="ctr"/>
        <c:lblOffset val="100"/>
        <c:noMultiLvlLbl val="0"/>
      </c:catAx>
      <c:valAx>
        <c:axId val="-913968752"/>
        <c:scaling>
          <c:orientation val="minMax"/>
        </c:scaling>
        <c:delete val="0"/>
        <c:axPos val="l"/>
        <c:majorGridlines/>
        <c:numFmt formatCode="General" sourceLinked="1"/>
        <c:majorTickMark val="out"/>
        <c:minorTickMark val="none"/>
        <c:tickLblPos val="nextTo"/>
        <c:crossAx val="-913958416"/>
        <c:crosses val="autoZero"/>
        <c:crossBetween val="between"/>
      </c:valAx>
    </c:plotArea>
    <c:legend>
      <c:legendPos val="r"/>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Column2</c:v>
                </c:pt>
              </c:strCache>
            </c:strRef>
          </c:tx>
          <c:dLbls>
            <c:dLbl>
              <c:idx val="1"/>
              <c:layout>
                <c:manualLayout>
                  <c:x val="-6.8229257801108195E-2"/>
                  <c:y val="3.98011506839790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76629483814523E-2"/>
                  <c:y val="6.62912169091446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081109652960048E-2"/>
                  <c:y val="0.11927134935947577"/>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8136665208515601E-2"/>
                  <c:y val="0.13693139350958605"/>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118146689997082E-2"/>
                  <c:y val="9.27812831343101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5081109652960048E-2"/>
                  <c:y val="8.3951261059255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0451480023330419E-2"/>
                  <c:y val="6.62912169091446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451480023330419E-2"/>
                  <c:y val="9.27812831343101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7292578011082793E-3"/>
                  <c:y val="7.512123898419982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Sheet1!$B$2:$B$13</c:f>
              <c:numCache>
                <c:formatCode>General</c:formatCode>
                <c:ptCount val="12"/>
              </c:numCache>
            </c:numRef>
          </c:val>
          <c:smooth val="0"/>
          <c:extLst xmlns:c16r2="http://schemas.microsoft.com/office/drawing/2015/06/chart">
            <c:ext xmlns:c16="http://schemas.microsoft.com/office/drawing/2014/chart" uri="{C3380CC4-5D6E-409C-BE32-E72D297353CC}">
              <c16:uniqueId val="{00000000-1F14-4DF1-8F01-783B1DEEE49D}"/>
            </c:ext>
          </c:extLst>
        </c:ser>
        <c:ser>
          <c:idx val="1"/>
          <c:order val="1"/>
          <c:tx>
            <c:strRef>
              <c:f>Sheet1!$C$1</c:f>
              <c:strCache>
                <c:ptCount val="1"/>
                <c:pt idx="0">
                  <c:v>Romania</c:v>
                </c:pt>
              </c:strCache>
            </c:strRef>
          </c:tx>
          <c:dLbls>
            <c:dLbl>
              <c:idx val="1"/>
              <c:layout>
                <c:manualLayout>
                  <c:x val="-5.8969998541848936E-2"/>
                  <c:y val="-6.615980949401192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Sheet1!$C$2:$C$13</c:f>
              <c:numCache>
                <c:formatCode>General</c:formatCode>
                <c:ptCount val="12"/>
                <c:pt idx="1">
                  <c:v>3</c:v>
                </c:pt>
                <c:pt idx="2">
                  <c:v>2.2000000000000002</c:v>
                </c:pt>
                <c:pt idx="3">
                  <c:v>2.7</c:v>
                </c:pt>
                <c:pt idx="4">
                  <c:v>1.8</c:v>
                </c:pt>
                <c:pt idx="5">
                  <c:v>2.1</c:v>
                </c:pt>
                <c:pt idx="6">
                  <c:v>0.7</c:v>
                </c:pt>
                <c:pt idx="7">
                  <c:v>1.8</c:v>
                </c:pt>
                <c:pt idx="8">
                  <c:v>0.9</c:v>
                </c:pt>
                <c:pt idx="9">
                  <c:v>1.5</c:v>
                </c:pt>
                <c:pt idx="10">
                  <c:v>1.6</c:v>
                </c:pt>
                <c:pt idx="11">
                  <c:v>1.3</c:v>
                </c:pt>
              </c:numCache>
            </c:numRef>
          </c:val>
          <c:smooth val="0"/>
          <c:extLst xmlns:c16r2="http://schemas.microsoft.com/office/drawing/2015/06/chart">
            <c:ext xmlns:c16="http://schemas.microsoft.com/office/drawing/2014/chart" uri="{C3380CC4-5D6E-409C-BE32-E72D297353CC}">
              <c16:uniqueId val="{00000001-1F14-4DF1-8F01-783B1DEEE49D}"/>
            </c:ext>
          </c:extLst>
        </c:ser>
        <c:ser>
          <c:idx val="2"/>
          <c:order val="2"/>
          <c:tx>
            <c:strRef>
              <c:f>Sheet1!$D$1</c:f>
              <c:strCache>
                <c:ptCount val="1"/>
                <c:pt idx="0">
                  <c:v>Column1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Sheet1!$D$2:$D$13</c:f>
              <c:numCache>
                <c:formatCode>General</c:formatCode>
                <c:ptCount val="12"/>
              </c:numCache>
            </c:numRef>
          </c:val>
          <c:smooth val="0"/>
          <c:extLst xmlns:c16r2="http://schemas.microsoft.com/office/drawing/2015/06/chart">
            <c:ext xmlns:c16="http://schemas.microsoft.com/office/drawing/2014/chart" uri="{C3380CC4-5D6E-409C-BE32-E72D297353CC}">
              <c16:uniqueId val="{00000002-1F14-4DF1-8F01-783B1DEEE49D}"/>
            </c:ext>
          </c:extLst>
        </c:ser>
        <c:dLbls>
          <c:dLblPos val="t"/>
          <c:showLegendKey val="0"/>
          <c:showVal val="1"/>
          <c:showCatName val="0"/>
          <c:showSerName val="0"/>
          <c:showPercent val="0"/>
          <c:showBubbleSize val="0"/>
        </c:dLbls>
        <c:marker val="1"/>
        <c:smooth val="0"/>
        <c:axId val="-913967120"/>
        <c:axId val="-1125310784"/>
      </c:lineChart>
      <c:catAx>
        <c:axId val="-913967120"/>
        <c:scaling>
          <c:orientation val="minMax"/>
        </c:scaling>
        <c:delete val="0"/>
        <c:axPos val="b"/>
        <c:numFmt formatCode="General" sourceLinked="1"/>
        <c:majorTickMark val="out"/>
        <c:minorTickMark val="none"/>
        <c:tickLblPos val="nextTo"/>
        <c:crossAx val="-1125310784"/>
        <c:crosses val="autoZero"/>
        <c:auto val="1"/>
        <c:lblAlgn val="ctr"/>
        <c:lblOffset val="100"/>
        <c:noMultiLvlLbl val="0"/>
      </c:catAx>
      <c:valAx>
        <c:axId val="-1125310784"/>
        <c:scaling>
          <c:orientation val="minMax"/>
        </c:scaling>
        <c:delete val="0"/>
        <c:axPos val="l"/>
        <c:majorGridlines/>
        <c:numFmt formatCode="General" sourceLinked="1"/>
        <c:majorTickMark val="out"/>
        <c:minorTickMark val="none"/>
        <c:tickLblPos val="nextTo"/>
        <c:crossAx val="-913967120"/>
        <c:crosses val="autoZero"/>
        <c:crossBetween val="between"/>
      </c:valAx>
    </c:plotArea>
    <c:legend>
      <c:legendPos val="r"/>
      <c:legendEntry>
        <c:idx val="0"/>
        <c:delete val="1"/>
      </c:legendEntry>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8882691746865"/>
          <c:y val="1.0541981221419488E-2"/>
          <c:w val="0.82098498104403617"/>
          <c:h val="0.92645642232865222"/>
        </c:manualLayout>
      </c:layout>
      <c:barChart>
        <c:barDir val="bar"/>
        <c:grouping val="stacked"/>
        <c:varyColors val="0"/>
        <c:ser>
          <c:idx val="0"/>
          <c:order val="0"/>
          <c:tx>
            <c:strRef>
              <c:f>Sheet1!$B$1</c:f>
              <c:strCache>
                <c:ptCount val="1"/>
                <c:pt idx="0">
                  <c:v>2011</c:v>
                </c:pt>
              </c:strCache>
            </c:strRef>
          </c:tx>
          <c:invertIfNegative val="0"/>
          <c:dLbls>
            <c:dLbl>
              <c:idx val="0"/>
              <c:layout>
                <c:manualLayout>
                  <c:x val="-1.6570793234179062E-2"/>
                  <c:y val="-1.4668166479190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4.3011811023622049E-3"/>
                  <c:y val="-1.041666666666666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1.3517242636337124E-2"/>
                  <c:y val="-1.186501687289088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layout>
                <c:manualLayout>
                  <c:x val="2.0196121318168562E-2"/>
                  <c:y val="-2.777777777777777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5.9796952464275296E-3"/>
                  <c:y val="-2.083333333333331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2.2756270049577136E-3"/>
                  <c:y val="-2.777777777777777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2.6504811898512688E-2"/>
                  <c:y val="-4.3644544431946006E-4"/>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Sheet1!$B$2:$B$24</c:f>
              <c:numCache>
                <c:formatCode>General</c:formatCode>
                <c:ptCount val="23"/>
                <c:pt idx="0">
                  <c:v>11.8</c:v>
                </c:pt>
                <c:pt idx="1">
                  <c:v>11.1</c:v>
                </c:pt>
                <c:pt idx="2">
                  <c:v>26.9</c:v>
                </c:pt>
                <c:pt idx="3">
                  <c:v>19.2</c:v>
                </c:pt>
                <c:pt idx="4">
                  <c:v>14.4</c:v>
                </c:pt>
                <c:pt idx="5">
                  <c:v>24</c:v>
                </c:pt>
                <c:pt idx="6">
                  <c:v>14.2</c:v>
                </c:pt>
                <c:pt idx="7">
                  <c:v>8.3000000000000007</c:v>
                </c:pt>
                <c:pt idx="8">
                  <c:v>5.5</c:v>
                </c:pt>
                <c:pt idx="9">
                  <c:v>23.3</c:v>
                </c:pt>
                <c:pt idx="10">
                  <c:v>27.7</c:v>
                </c:pt>
                <c:pt idx="11">
                  <c:v>6.5</c:v>
                </c:pt>
                <c:pt idx="12">
                  <c:v>20.6</c:v>
                </c:pt>
                <c:pt idx="13">
                  <c:v>7.7</c:v>
                </c:pt>
                <c:pt idx="14">
                  <c:v>8.6999999999999993</c:v>
                </c:pt>
                <c:pt idx="15">
                  <c:v>9.5</c:v>
                </c:pt>
                <c:pt idx="16">
                  <c:v>15.1</c:v>
                </c:pt>
                <c:pt idx="18">
                  <c:v>25.3</c:v>
                </c:pt>
                <c:pt idx="19">
                  <c:v>13.7</c:v>
                </c:pt>
                <c:pt idx="20">
                  <c:v>21.4</c:v>
                </c:pt>
                <c:pt idx="21">
                  <c:v>5.9</c:v>
                </c:pt>
                <c:pt idx="22">
                  <c:v>8.9</c:v>
                </c:pt>
              </c:numCache>
            </c:numRef>
          </c:val>
        </c:ser>
        <c:ser>
          <c:idx val="1"/>
          <c:order val="1"/>
          <c:tx>
            <c:strRef>
              <c:f>Sheet1!$C$1</c:f>
              <c:strCache>
                <c:ptCount val="1"/>
                <c:pt idx="0">
                  <c:v>2016</c:v>
                </c:pt>
              </c:strCache>
            </c:strRef>
          </c:tx>
          <c:invertIfNegative val="0"/>
          <c:dLbls>
            <c:dLbl>
              <c:idx val="0"/>
              <c:layout>
                <c:manualLayout>
                  <c:x val="-1.955745115193934E-2"/>
                  <c:y val="-1.069518716577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7.3115339749197806E-3"/>
                  <c:y val="-1.142857142857135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7008238553514167E-2"/>
                  <c:y val="-1.73611111111111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3336978710994461E-3"/>
                  <c:y val="-2.430555555555555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7.7810586176727909E-3"/>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1.2282735491396909E-2"/>
                  <c:y val="-4.583427071616048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3.9340915718868259E-3"/>
                  <c:y val="-1.736122984626921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1.1384878973461693E-2"/>
                  <c:y val="-1.73611111111111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5.0583260425780107E-3"/>
                  <c:y val="-2.083333333333331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9.8170020414114906E-3"/>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3.2890237678623507E-2"/>
                  <c:y val="-3.472222222222222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8.28322761738116E-2"/>
                  <c:y val="-2.2857142857142857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Sheet1!$C$2:$C$24</c:f>
              <c:numCache>
                <c:formatCode>General</c:formatCode>
                <c:ptCount val="23"/>
                <c:pt idx="0">
                  <c:v>11.2</c:v>
                </c:pt>
                <c:pt idx="1">
                  <c:v>11.1</c:v>
                </c:pt>
                <c:pt idx="2">
                  <c:v>27.3</c:v>
                </c:pt>
                <c:pt idx="3">
                  <c:v>15.4</c:v>
                </c:pt>
                <c:pt idx="4">
                  <c:v>11.9</c:v>
                </c:pt>
                <c:pt idx="5">
                  <c:v>21.1</c:v>
                </c:pt>
                <c:pt idx="6">
                  <c:v>12.3</c:v>
                </c:pt>
                <c:pt idx="7">
                  <c:v>8.5</c:v>
                </c:pt>
                <c:pt idx="8">
                  <c:v>4.5999999999999996</c:v>
                </c:pt>
                <c:pt idx="9">
                  <c:v>23</c:v>
                </c:pt>
                <c:pt idx="11">
                  <c:v>8.4</c:v>
                </c:pt>
                <c:pt idx="12">
                  <c:v>22.3</c:v>
                </c:pt>
                <c:pt idx="13">
                  <c:v>5.2</c:v>
                </c:pt>
                <c:pt idx="14">
                  <c:v>9.4</c:v>
                </c:pt>
                <c:pt idx="15">
                  <c:v>9.1</c:v>
                </c:pt>
                <c:pt idx="16">
                  <c:v>13.2</c:v>
                </c:pt>
                <c:pt idx="18">
                  <c:v>26.1</c:v>
                </c:pt>
                <c:pt idx="19">
                  <c:v>11.8</c:v>
                </c:pt>
                <c:pt idx="21">
                  <c:v>6.2</c:v>
                </c:pt>
                <c:pt idx="22">
                  <c:v>11.3</c:v>
                </c:pt>
              </c:numCache>
            </c:numRef>
          </c:val>
        </c:ser>
        <c:ser>
          <c:idx val="2"/>
          <c:order val="2"/>
          <c:tx>
            <c:strRef>
              <c:f>Sheet1!$D$1</c:f>
              <c:strCache>
                <c:ptCount val="1"/>
                <c:pt idx="0">
                  <c:v>2018</c:v>
                </c:pt>
              </c:strCache>
            </c:strRef>
          </c:tx>
          <c:invertIfNegative val="0"/>
          <c:dLbls>
            <c:dLbl>
              <c:idx val="0"/>
              <c:layout>
                <c:manualLayout>
                  <c:x val="3.1032370953630775E-2"/>
                  <c:y val="7.130124777183600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6346784776902846E-2"/>
                  <c:y val="-1.73611111111111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1057706328375621E-2"/>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2.7207276173811606E-3"/>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9.3130285797608636E-3"/>
                  <c:y val="-3.12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4.2423082531350244E-3"/>
                  <c:y val="5.8333708286464189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3.9722769028871389E-2"/>
                  <c:y val="-2.430555555555555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2.5997010790317879E-3"/>
                  <c:y val="-2.430555555555553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8.3982210557013715E-3"/>
                  <c:y val="-2.430555555555555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4.1406022163896182E-3"/>
                  <c:y val="-3.472222222222222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Sheet1!$D$2:$D$24</c:f>
              <c:numCache>
                <c:formatCode>General</c:formatCode>
                <c:ptCount val="23"/>
                <c:pt idx="0">
                  <c:v>10.9</c:v>
                </c:pt>
                <c:pt idx="1">
                  <c:v>10.9</c:v>
                </c:pt>
                <c:pt idx="2">
                  <c:v>23.3</c:v>
                </c:pt>
                <c:pt idx="3">
                  <c:v>13.6</c:v>
                </c:pt>
                <c:pt idx="4">
                  <c:v>11.4</c:v>
                </c:pt>
                <c:pt idx="5">
                  <c:v>18.2</c:v>
                </c:pt>
                <c:pt idx="6">
                  <c:v>12.2</c:v>
                </c:pt>
                <c:pt idx="7">
                  <c:v>8.8000000000000007</c:v>
                </c:pt>
                <c:pt idx="12">
                  <c:v>21.1</c:v>
                </c:pt>
                <c:pt idx="14">
                  <c:v>9.6999999999999993</c:v>
                </c:pt>
                <c:pt idx="15">
                  <c:v>9.8000000000000007</c:v>
                </c:pt>
                <c:pt idx="16">
                  <c:v>11.9</c:v>
                </c:pt>
                <c:pt idx="17">
                  <c:v>9.6</c:v>
                </c:pt>
                <c:pt idx="18">
                  <c:v>24.8</c:v>
                </c:pt>
                <c:pt idx="21">
                  <c:v>6</c:v>
                </c:pt>
                <c:pt idx="22">
                  <c:v>11.2</c:v>
                </c:pt>
              </c:numCache>
            </c:numRef>
          </c:val>
        </c:ser>
        <c:ser>
          <c:idx val="3"/>
          <c:order val="3"/>
          <c:tx>
            <c:strRef>
              <c:f>Sheet1!$E$1</c:f>
              <c:strCache>
                <c:ptCount val="1"/>
                <c:pt idx="0">
                  <c:v>2019</c:v>
                </c:pt>
              </c:strCache>
            </c:strRef>
          </c:tx>
          <c:invertIfNegative val="0"/>
          <c:dLbls>
            <c:dLbl>
              <c:idx val="1"/>
              <c:delete val="1"/>
              <c:extLst>
                <c:ext xmlns:c15="http://schemas.microsoft.com/office/drawing/2012/chart" uri="{CE6537A1-D6FC-4f65-9D91-7224C49458BB}"/>
              </c:extLst>
            </c:dLbl>
            <c:dLbl>
              <c:idx val="10"/>
              <c:layout>
                <c:manualLayout>
                  <c:x val="2.8065580344123653E-2"/>
                  <c:y val="-2.777777777777777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8135753864100321E-4"/>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5.1195683872849226E-3"/>
                  <c:y val="-1.388888888888888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4.1156313794109072E-4"/>
                  <c:y val="-3.472222222222222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5.1649168853893264E-2"/>
                  <c:y val="-1.041666666666666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3.6586832895887926E-2"/>
                  <c:y val="-2.777777777777777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2.2628681831437735E-3"/>
                  <c:y val="-2.083333333333331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layout>
                <c:manualLayout>
                  <c:x val="-3.3637722368038176E-3"/>
                  <c:y val="-3.472222222222222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Sheet1!$E$2:$E$24</c:f>
              <c:numCache>
                <c:formatCode>General</c:formatCode>
                <c:ptCount val="23"/>
                <c:pt idx="2">
                  <c:v>24.4</c:v>
                </c:pt>
                <c:pt idx="4">
                  <c:v>11.9</c:v>
                </c:pt>
                <c:pt idx="12">
                  <c:v>19.899999999999999</c:v>
                </c:pt>
                <c:pt idx="14">
                  <c:v>10.4</c:v>
                </c:pt>
                <c:pt idx="18">
                  <c:v>23.3</c:v>
                </c:pt>
                <c:pt idx="22">
                  <c:v>10.4</c:v>
                </c:pt>
              </c:numCache>
            </c:numRef>
          </c:val>
        </c:ser>
        <c:ser>
          <c:idx val="4"/>
          <c:order val="4"/>
          <c:tx>
            <c:strRef>
              <c:f>Sheet1!$F$1</c:f>
              <c:strCache>
                <c:ptCount val="1"/>
                <c:pt idx="0">
                  <c:v>2020</c:v>
                </c:pt>
              </c:strCache>
            </c:strRef>
          </c:tx>
          <c:invertIfNegative val="0"/>
          <c:dLbls>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21"/>
              <c:delete val="1"/>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Sheet1!$F$2:$F$24</c:f>
              <c:numCache>
                <c:formatCode>General</c:formatCode>
                <c:ptCount val="23"/>
                <c:pt idx="2">
                  <c:v>0</c:v>
                </c:pt>
                <c:pt idx="4">
                  <c:v>0</c:v>
                </c:pt>
                <c:pt idx="21">
                  <c:v>0</c:v>
                </c:pt>
              </c:numCache>
            </c:numRef>
          </c:val>
        </c:ser>
        <c:dLbls>
          <c:dLblPos val="inEnd"/>
          <c:showLegendKey val="0"/>
          <c:showVal val="1"/>
          <c:showCatName val="0"/>
          <c:showSerName val="0"/>
          <c:showPercent val="0"/>
          <c:showBubbleSize val="0"/>
        </c:dLbls>
        <c:gapWidth val="150"/>
        <c:overlap val="100"/>
        <c:axId val="-1125321664"/>
        <c:axId val="-1125719840"/>
      </c:barChart>
      <c:catAx>
        <c:axId val="-1125321664"/>
        <c:scaling>
          <c:orientation val="minMax"/>
        </c:scaling>
        <c:delete val="0"/>
        <c:axPos val="l"/>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125719840"/>
        <c:crosses val="autoZero"/>
        <c:auto val="1"/>
        <c:lblAlgn val="ctr"/>
        <c:lblOffset val="100"/>
        <c:noMultiLvlLbl val="0"/>
      </c:catAx>
      <c:valAx>
        <c:axId val="-1125719840"/>
        <c:scaling>
          <c:orientation val="minMax"/>
        </c:scaling>
        <c:delete val="0"/>
        <c:axPos val="b"/>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125321664"/>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6.9827167830436285E-2"/>
          <c:w val="0.75985965296004676"/>
          <c:h val="0.77261526271480219"/>
        </c:manualLayout>
      </c:layout>
      <c:barChart>
        <c:barDir val="col"/>
        <c:grouping val="clustered"/>
        <c:varyColors val="0"/>
        <c:ser>
          <c:idx val="0"/>
          <c:order val="0"/>
          <c:tx>
            <c:strRef>
              <c:f>Sheet1!$B$1</c:f>
              <c:strCache>
                <c:ptCount val="1"/>
                <c:pt idx="0">
                  <c:v>Mondial</c:v>
                </c:pt>
              </c:strCache>
            </c:strRef>
          </c:tx>
          <c:invertIfNegative val="0"/>
          <c:dLbls>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Sheet1!$B$2:$B$12</c:f>
              <c:numCache>
                <c:formatCode>General</c:formatCode>
                <c:ptCount val="11"/>
                <c:pt idx="0">
                  <c:v>62.9</c:v>
                </c:pt>
                <c:pt idx="1">
                  <c:v>62.9</c:v>
                </c:pt>
                <c:pt idx="2">
                  <c:v>62.8</c:v>
                </c:pt>
                <c:pt idx="3">
                  <c:v>62.8</c:v>
                </c:pt>
                <c:pt idx="4">
                  <c:v>63</c:v>
                </c:pt>
                <c:pt idx="5">
                  <c:v>63.3</c:v>
                </c:pt>
                <c:pt idx="6">
                  <c:v>63.8</c:v>
                </c:pt>
                <c:pt idx="7">
                  <c:v>64.2</c:v>
                </c:pt>
                <c:pt idx="8">
                  <c:v>64.599999999999994</c:v>
                </c:pt>
                <c:pt idx="9">
                  <c:v>64.900000000000006</c:v>
                </c:pt>
                <c:pt idx="10">
                  <c:v>65</c:v>
                </c:pt>
              </c:numCache>
            </c:numRef>
          </c:val>
        </c:ser>
        <c:ser>
          <c:idx val="1"/>
          <c:order val="1"/>
          <c:tx>
            <c:strRef>
              <c:f>Sheet1!$C$1</c:f>
              <c:strCache>
                <c:ptCount val="1"/>
                <c:pt idx="0">
                  <c:v>Europa</c:v>
                </c:pt>
              </c:strCache>
            </c:strRef>
          </c:tx>
          <c:invertIfNegative val="0"/>
          <c:dLbls>
            <c:dLbl>
              <c:idx val="3"/>
              <c:layout>
                <c:manualLayout>
                  <c:x val="-1.9723865877712033E-3"/>
                  <c:y val="4.324324324324322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Sheet1!$C$2:$C$12</c:f>
              <c:numCache>
                <c:formatCode>General</c:formatCode>
                <c:ptCount val="11"/>
                <c:pt idx="0">
                  <c:v>70.599999999999994</c:v>
                </c:pt>
                <c:pt idx="1">
                  <c:v>70.5</c:v>
                </c:pt>
                <c:pt idx="2">
                  <c:v>70.3</c:v>
                </c:pt>
                <c:pt idx="3">
                  <c:v>70.2</c:v>
                </c:pt>
                <c:pt idx="4">
                  <c:v>70</c:v>
                </c:pt>
                <c:pt idx="5">
                  <c:v>69.8</c:v>
                </c:pt>
                <c:pt idx="6">
                  <c:v>69.7</c:v>
                </c:pt>
                <c:pt idx="7">
                  <c:v>69.599999999999994</c:v>
                </c:pt>
                <c:pt idx="8">
                  <c:v>69.599999999999994</c:v>
                </c:pt>
                <c:pt idx="9">
                  <c:v>69.599999999999994</c:v>
                </c:pt>
                <c:pt idx="10">
                  <c:v>69.7</c:v>
                </c:pt>
              </c:numCache>
            </c:numRef>
          </c:val>
        </c:ser>
        <c:ser>
          <c:idx val="2"/>
          <c:order val="2"/>
          <c:tx>
            <c:strRef>
              <c:f>Sheet1!$D$1</c:f>
              <c:strCache>
                <c:ptCount val="1"/>
                <c:pt idx="0">
                  <c:v>Europa de Est</c:v>
                </c:pt>
              </c:strCache>
            </c:strRef>
          </c:tx>
          <c:invertIfNegative val="0"/>
          <c:dLbls>
            <c:dLbl>
              <c:idx val="0"/>
              <c:layout>
                <c:manualLayout>
                  <c:x val="7.88954635108481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917159763313627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8619329388560158E-3"/>
                  <c:y val="6.289308176100629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9171597633136093E-3"/>
                  <c:y val="3.77358490566037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9171597633136093E-3"/>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5.9171597633135373E-3"/>
                  <c:y val="3.77358490566037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3806706114398421E-2"/>
                  <c:y val="3.77358490566037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1696252465483234E-2"/>
                  <c:y val="1.25786163522012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3668639053254437E-2"/>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Sheet1!$D$2:$D$12</c:f>
              <c:numCache>
                <c:formatCode>General</c:formatCode>
                <c:ptCount val="11"/>
                <c:pt idx="0">
                  <c:v>68.5</c:v>
                </c:pt>
                <c:pt idx="1">
                  <c:v>68.7</c:v>
                </c:pt>
                <c:pt idx="2">
                  <c:v>68.8</c:v>
                </c:pt>
                <c:pt idx="3">
                  <c:v>68.900000000000006</c:v>
                </c:pt>
                <c:pt idx="4">
                  <c:v>69</c:v>
                </c:pt>
                <c:pt idx="5">
                  <c:v>69</c:v>
                </c:pt>
                <c:pt idx="6">
                  <c:v>69</c:v>
                </c:pt>
                <c:pt idx="7">
                  <c:v>69</c:v>
                </c:pt>
                <c:pt idx="8">
                  <c:v>69</c:v>
                </c:pt>
                <c:pt idx="9">
                  <c:v>69.099999999999994</c:v>
                </c:pt>
                <c:pt idx="10">
                  <c:v>69.099999999999994</c:v>
                </c:pt>
              </c:numCache>
            </c:numRef>
          </c:val>
        </c:ser>
        <c:ser>
          <c:idx val="3"/>
          <c:order val="3"/>
          <c:tx>
            <c:strRef>
              <c:f>Sheet1!$E$1</c:f>
              <c:strCache>
                <c:ptCount val="1"/>
                <c:pt idx="0">
                  <c:v>România</c:v>
                </c:pt>
              </c:strCache>
            </c:strRef>
          </c:tx>
          <c:invertIfNegative val="0"/>
          <c:dLbls>
            <c:dLbl>
              <c:idx val="1"/>
              <c:layout>
                <c:manualLayout>
                  <c:x val="1.9723865877712033E-3"/>
                  <c:y val="2.88288288288288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324324324324324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Sheet1!$E$2:$E$12</c:f>
              <c:numCache>
                <c:formatCode>General</c:formatCode>
                <c:ptCount val="11"/>
                <c:pt idx="0">
                  <c:v>70.2</c:v>
                </c:pt>
                <c:pt idx="1">
                  <c:v>70.3</c:v>
                </c:pt>
                <c:pt idx="2">
                  <c:v>70.3</c:v>
                </c:pt>
                <c:pt idx="3">
                  <c:v>70.5</c:v>
                </c:pt>
                <c:pt idx="4">
                  <c:v>70.599999999999994</c:v>
                </c:pt>
                <c:pt idx="5">
                  <c:v>70.599999999999994</c:v>
                </c:pt>
                <c:pt idx="6">
                  <c:v>70.7</c:v>
                </c:pt>
                <c:pt idx="7">
                  <c:v>70.8</c:v>
                </c:pt>
                <c:pt idx="8">
                  <c:v>70.900000000000006</c:v>
                </c:pt>
                <c:pt idx="9">
                  <c:v>71</c:v>
                </c:pt>
                <c:pt idx="10">
                  <c:v>71</c:v>
                </c:pt>
              </c:numCache>
            </c:numRef>
          </c:val>
        </c:ser>
        <c:dLbls>
          <c:dLblPos val="outEnd"/>
          <c:showLegendKey val="0"/>
          <c:showVal val="1"/>
          <c:showCatName val="0"/>
          <c:showSerName val="0"/>
          <c:showPercent val="0"/>
          <c:showBubbleSize val="0"/>
        </c:dLbls>
        <c:gapWidth val="150"/>
        <c:axId val="-585901952"/>
        <c:axId val="-585899232"/>
      </c:barChart>
      <c:catAx>
        <c:axId val="-585901952"/>
        <c:scaling>
          <c:orientation val="minMax"/>
        </c:scaling>
        <c:delete val="0"/>
        <c:axPos val="b"/>
        <c:numFmt formatCode="General" sourceLinked="1"/>
        <c:majorTickMark val="out"/>
        <c:minorTickMark val="none"/>
        <c:tickLblPos val="nextTo"/>
        <c:txPr>
          <a:bodyPr/>
          <a:lstStyle/>
          <a:p>
            <a:pPr>
              <a:defRPr sz="900"/>
            </a:pPr>
            <a:endParaRPr lang="en-US"/>
          </a:p>
        </c:txPr>
        <c:crossAx val="-585899232"/>
        <c:crosses val="autoZero"/>
        <c:auto val="1"/>
        <c:lblAlgn val="ctr"/>
        <c:lblOffset val="100"/>
        <c:noMultiLvlLbl val="0"/>
      </c:catAx>
      <c:valAx>
        <c:axId val="-585899232"/>
        <c:scaling>
          <c:orientation val="minMax"/>
        </c:scaling>
        <c:delete val="0"/>
        <c:axPos val="l"/>
        <c:numFmt formatCode="General" sourceLinked="1"/>
        <c:majorTickMark val="out"/>
        <c:minorTickMark val="none"/>
        <c:tickLblPos val="nextTo"/>
        <c:txPr>
          <a:bodyPr/>
          <a:lstStyle/>
          <a:p>
            <a:pPr>
              <a:defRPr sz="900"/>
            </a:pPr>
            <a:endParaRPr lang="en-US"/>
          </a:p>
        </c:txPr>
        <c:crossAx val="-5859019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6.9827167830436285E-2"/>
          <c:w val="0.75985965296004676"/>
          <c:h val="0.77261526271480219"/>
        </c:manualLayout>
      </c:layout>
      <c:barChart>
        <c:barDir val="col"/>
        <c:grouping val="clustered"/>
        <c:varyColors val="0"/>
        <c:ser>
          <c:idx val="0"/>
          <c:order val="0"/>
          <c:tx>
            <c:strRef>
              <c:f>Sheet1!$B$1</c:f>
              <c:strCache>
                <c:ptCount val="1"/>
                <c:pt idx="0">
                  <c:v>Mondial</c:v>
                </c:pt>
              </c:strCache>
            </c:strRef>
          </c:tx>
          <c:invertIfNegative val="0"/>
          <c:dLbls>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Sheet1!$B$2:$B$12</c:f>
              <c:numCache>
                <c:formatCode>General</c:formatCode>
                <c:ptCount val="11"/>
                <c:pt idx="0">
                  <c:v>11.3</c:v>
                </c:pt>
                <c:pt idx="1">
                  <c:v>11.2</c:v>
                </c:pt>
                <c:pt idx="2">
                  <c:v>11.2</c:v>
                </c:pt>
                <c:pt idx="3">
                  <c:v>11.1</c:v>
                </c:pt>
                <c:pt idx="4">
                  <c:v>11</c:v>
                </c:pt>
                <c:pt idx="5">
                  <c:v>10.9</c:v>
                </c:pt>
                <c:pt idx="6">
                  <c:v>10.8</c:v>
                </c:pt>
                <c:pt idx="7">
                  <c:v>10.7</c:v>
                </c:pt>
                <c:pt idx="8">
                  <c:v>10.7</c:v>
                </c:pt>
                <c:pt idx="9">
                  <c:v>10.6</c:v>
                </c:pt>
                <c:pt idx="10">
                  <c:v>10.6</c:v>
                </c:pt>
              </c:numCache>
            </c:numRef>
          </c:val>
        </c:ser>
        <c:ser>
          <c:idx val="1"/>
          <c:order val="1"/>
          <c:tx>
            <c:strRef>
              <c:f>Sheet1!$C$1</c:f>
              <c:strCache>
                <c:ptCount val="1"/>
                <c:pt idx="0">
                  <c:v>Europa</c:v>
                </c:pt>
              </c:strCache>
            </c:strRef>
          </c:tx>
          <c:invertIfNegative val="0"/>
          <c:dLbls>
            <c:dLbl>
              <c:idx val="7"/>
              <c:layout>
                <c:manualLayout>
                  <c:x val="-5.9171597633136093E-3"/>
                  <c:y val="2.162162162162162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Sheet1!$C$2:$C$12</c:f>
              <c:numCache>
                <c:formatCode>General</c:formatCode>
                <c:ptCount val="11"/>
                <c:pt idx="0">
                  <c:v>8.1999999999999993</c:v>
                </c:pt>
                <c:pt idx="1">
                  <c:v>8.1999999999999993</c:v>
                </c:pt>
                <c:pt idx="2">
                  <c:v>8.3000000000000007</c:v>
                </c:pt>
                <c:pt idx="3">
                  <c:v>8.4</c:v>
                </c:pt>
                <c:pt idx="4">
                  <c:v>8.4</c:v>
                </c:pt>
                <c:pt idx="5">
                  <c:v>8.5</c:v>
                </c:pt>
                <c:pt idx="6">
                  <c:v>8.6</c:v>
                </c:pt>
                <c:pt idx="7">
                  <c:v>8.6</c:v>
                </c:pt>
                <c:pt idx="8">
                  <c:v>8.6</c:v>
                </c:pt>
                <c:pt idx="9">
                  <c:v>8.6999999999999993</c:v>
                </c:pt>
                <c:pt idx="10">
                  <c:v>8.6999999999999993</c:v>
                </c:pt>
              </c:numCache>
            </c:numRef>
          </c:val>
        </c:ser>
        <c:ser>
          <c:idx val="2"/>
          <c:order val="2"/>
          <c:tx>
            <c:strRef>
              <c:f>Sheet1!$D$1</c:f>
              <c:strCache>
                <c:ptCount val="1"/>
                <c:pt idx="0">
                  <c:v>Europa de Est</c:v>
                </c:pt>
              </c:strCache>
            </c:strRef>
          </c:tx>
          <c:invertIfNegative val="0"/>
          <c:dLbls>
            <c:dLbl>
              <c:idx val="0"/>
              <c:layout>
                <c:manualLayout>
                  <c:x val="7.88954635108481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917159763313627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8619329388560158E-3"/>
                  <c:y val="6.289308176100629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9171597633136093E-3"/>
                  <c:y val="3.77358490566037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9171597633136093E-3"/>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5779092702169626E-2"/>
                  <c:y val="8.906859615521033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3806706114398421E-2"/>
                  <c:y val="3.77358490566037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1696252465483234E-2"/>
                  <c:y val="1.25786163522012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3668639053254437E-2"/>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Sheet1!$D$2:$D$12</c:f>
              <c:numCache>
                <c:formatCode>General</c:formatCode>
                <c:ptCount val="11"/>
                <c:pt idx="0">
                  <c:v>9.1</c:v>
                </c:pt>
                <c:pt idx="1">
                  <c:v>9.1</c:v>
                </c:pt>
                <c:pt idx="2">
                  <c:v>9</c:v>
                </c:pt>
                <c:pt idx="3">
                  <c:v>9</c:v>
                </c:pt>
                <c:pt idx="4">
                  <c:v>9.1</c:v>
                </c:pt>
                <c:pt idx="5">
                  <c:v>9.1</c:v>
                </c:pt>
                <c:pt idx="6">
                  <c:v>9.1</c:v>
                </c:pt>
                <c:pt idx="7">
                  <c:v>9.1</c:v>
                </c:pt>
                <c:pt idx="8">
                  <c:v>9.1</c:v>
                </c:pt>
                <c:pt idx="9">
                  <c:v>9.1</c:v>
                </c:pt>
                <c:pt idx="10">
                  <c:v>9.1</c:v>
                </c:pt>
              </c:numCache>
            </c:numRef>
          </c:val>
        </c:ser>
        <c:ser>
          <c:idx val="3"/>
          <c:order val="3"/>
          <c:tx>
            <c:strRef>
              <c:f>Sheet1!$E$1</c:f>
              <c:strCache>
                <c:ptCount val="1"/>
                <c:pt idx="0">
                  <c:v>România</c:v>
                </c:pt>
              </c:strCache>
            </c:strRef>
          </c:tx>
          <c:invertIfNegative val="0"/>
          <c:dLbls>
            <c:dLbl>
              <c:idx val="0"/>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282051282051282E-2"/>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Sheet1!$E$2:$E$12</c:f>
              <c:numCache>
                <c:formatCode>General</c:formatCode>
                <c:ptCount val="11"/>
                <c:pt idx="0">
                  <c:v>7.9</c:v>
                </c:pt>
                <c:pt idx="1">
                  <c:v>7.8</c:v>
                </c:pt>
                <c:pt idx="2">
                  <c:v>7.8</c:v>
                </c:pt>
                <c:pt idx="3">
                  <c:v>7.8</c:v>
                </c:pt>
                <c:pt idx="4">
                  <c:v>7.8</c:v>
                </c:pt>
                <c:pt idx="5">
                  <c:v>7.8</c:v>
                </c:pt>
                <c:pt idx="6">
                  <c:v>7.8</c:v>
                </c:pt>
                <c:pt idx="7">
                  <c:v>7.8</c:v>
                </c:pt>
                <c:pt idx="8">
                  <c:v>7.7</c:v>
                </c:pt>
                <c:pt idx="9">
                  <c:v>7.7</c:v>
                </c:pt>
                <c:pt idx="10">
                  <c:v>7.7</c:v>
                </c:pt>
              </c:numCache>
            </c:numRef>
          </c:val>
        </c:ser>
        <c:dLbls>
          <c:dLblPos val="outEnd"/>
          <c:showLegendKey val="0"/>
          <c:showVal val="1"/>
          <c:showCatName val="0"/>
          <c:showSerName val="0"/>
          <c:showPercent val="0"/>
          <c:showBubbleSize val="0"/>
        </c:dLbls>
        <c:gapWidth val="150"/>
        <c:axId val="-585905760"/>
        <c:axId val="-585919360"/>
      </c:barChart>
      <c:catAx>
        <c:axId val="-585905760"/>
        <c:scaling>
          <c:orientation val="minMax"/>
        </c:scaling>
        <c:delete val="0"/>
        <c:axPos val="b"/>
        <c:numFmt formatCode="General" sourceLinked="1"/>
        <c:majorTickMark val="out"/>
        <c:minorTickMark val="none"/>
        <c:tickLblPos val="nextTo"/>
        <c:txPr>
          <a:bodyPr/>
          <a:lstStyle/>
          <a:p>
            <a:pPr>
              <a:defRPr sz="900"/>
            </a:pPr>
            <a:endParaRPr lang="en-US"/>
          </a:p>
        </c:txPr>
        <c:crossAx val="-585919360"/>
        <c:crosses val="autoZero"/>
        <c:auto val="1"/>
        <c:lblAlgn val="ctr"/>
        <c:lblOffset val="100"/>
        <c:noMultiLvlLbl val="0"/>
      </c:catAx>
      <c:valAx>
        <c:axId val="-585919360"/>
        <c:scaling>
          <c:orientation val="minMax"/>
        </c:scaling>
        <c:delete val="0"/>
        <c:axPos val="l"/>
        <c:numFmt formatCode="General" sourceLinked="1"/>
        <c:majorTickMark val="out"/>
        <c:minorTickMark val="none"/>
        <c:tickLblPos val="nextTo"/>
        <c:txPr>
          <a:bodyPr/>
          <a:lstStyle/>
          <a:p>
            <a:pPr>
              <a:defRPr sz="900"/>
            </a:pPr>
            <a:endParaRPr lang="en-US"/>
          </a:p>
        </c:txPr>
        <c:crossAx val="-58590576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01450860309131E-2"/>
          <c:y val="7.6788830715532289E-2"/>
          <c:w val="0.68561151210265392"/>
          <c:h val="0.76396751453188771"/>
        </c:manualLayout>
      </c:layout>
      <c:lineChart>
        <c:grouping val="standard"/>
        <c:varyColors val="0"/>
        <c:ser>
          <c:idx val="0"/>
          <c:order val="0"/>
          <c:tx>
            <c:strRef>
              <c:f>Sheet1!$B$1</c:f>
              <c:strCache>
                <c:ptCount val="1"/>
                <c:pt idx="0">
                  <c:v>UE 10-14 ani</c:v>
                </c:pt>
              </c:strCache>
            </c:strRef>
          </c:tx>
          <c:spPr>
            <a:ln w="38100">
              <a:solidFill>
                <a:schemeClr val="tx2">
                  <a:lumMod val="75000"/>
                </a:schemeClr>
              </a:solidFill>
            </a:ln>
          </c:spPr>
          <c:marker>
            <c:spPr>
              <a:solidFill>
                <a:schemeClr val="tx2">
                  <a:lumMod val="60000"/>
                  <a:lumOff val="40000"/>
                </a:schemeClr>
              </a:solidFill>
              <a:ln w="38100">
                <a:solidFill>
                  <a:schemeClr val="tx2">
                    <a:lumMod val="75000"/>
                  </a:schemeClr>
                </a:solidFill>
              </a:ln>
            </c:spPr>
          </c:marker>
          <c:dLbls>
            <c:dLbl>
              <c:idx val="0"/>
              <c:tx>
                <c:rich>
                  <a:bodyPr/>
                  <a:lstStyle/>
                  <a:p>
                    <a:r>
                      <a:rPr lang="en-US" sz="800">
                        <a:latin typeface="Times New Roman" panose="02020603050405020304" pitchFamily="18" charset="0"/>
                        <a:cs typeface="Times New Roman" panose="02020603050405020304" pitchFamily="18" charset="0"/>
                      </a:rPr>
                      <a:t>0.045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800">
                        <a:latin typeface="Times New Roman" panose="02020603050405020304" pitchFamily="18" charset="0"/>
                        <a:cs typeface="Times New Roman" panose="02020603050405020304" pitchFamily="18" charset="0"/>
                      </a:rPr>
                      <a:t>0.044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800">
                        <a:latin typeface="Times New Roman" panose="02020603050405020304" pitchFamily="18" charset="0"/>
                        <a:cs typeface="Times New Roman" panose="02020603050405020304" pitchFamily="18" charset="0"/>
                      </a:rPr>
                      <a:t>0.043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800">
                        <a:latin typeface="Times New Roman" panose="02020603050405020304" pitchFamily="18" charset="0"/>
                        <a:cs typeface="Times New Roman" panose="02020603050405020304" pitchFamily="18" charset="0"/>
                      </a:rPr>
                      <a:t>0.045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800">
                        <a:latin typeface="Times New Roman" panose="02020603050405020304" pitchFamily="18" charset="0"/>
                        <a:cs typeface="Times New Roman" panose="02020603050405020304" pitchFamily="18" charset="0"/>
                      </a:rPr>
                      <a:t>0.043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800">
                        <a:latin typeface="Times New Roman" panose="02020603050405020304" pitchFamily="18" charset="0"/>
                        <a:cs typeface="Times New Roman" panose="02020603050405020304" pitchFamily="18" charset="0"/>
                      </a:rPr>
                      <a:t>0.042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800">
                        <a:latin typeface="Times New Roman" panose="02020603050405020304" pitchFamily="18" charset="0"/>
                        <a:cs typeface="Times New Roman" panose="02020603050405020304" pitchFamily="18" charset="0"/>
                      </a:rPr>
                      <a:t>0.043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sz="800">
                        <a:latin typeface="Times New Roman" panose="02020603050405020304" pitchFamily="18" charset="0"/>
                        <a:cs typeface="Times New Roman" panose="02020603050405020304" pitchFamily="18" charset="0"/>
                      </a:rPr>
                      <a:t>0.041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sz="800">
                        <a:latin typeface="Times New Roman" panose="02020603050405020304" pitchFamily="18" charset="0"/>
                        <a:cs typeface="Times New Roman" panose="02020603050405020304" pitchFamily="18" charset="0"/>
                      </a:rPr>
                      <a:t>0.041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sz="800">
                        <a:latin typeface="Times New Roman" panose="02020603050405020304" pitchFamily="18" charset="0"/>
                        <a:cs typeface="Times New Roman" panose="02020603050405020304" pitchFamily="18" charset="0"/>
                      </a:rPr>
                      <a:t>0.04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0</c:v>
                </c:pt>
                <c:pt idx="1">
                  <c:v>0</c:v>
                </c:pt>
                <c:pt idx="2">
                  <c:v>0</c:v>
                </c:pt>
                <c:pt idx="3">
                  <c:v>0</c:v>
                </c:pt>
                <c:pt idx="4">
                  <c:v>0</c:v>
                </c:pt>
                <c:pt idx="5">
                  <c:v>0</c:v>
                </c:pt>
                <c:pt idx="6">
                  <c:v>0</c:v>
                </c:pt>
                <c:pt idx="7">
                  <c:v>4.1000000000000002E-2</c:v>
                </c:pt>
                <c:pt idx="8">
                  <c:v>4.1000000000000002E-2</c:v>
                </c:pt>
                <c:pt idx="9">
                  <c:v>0.04</c:v>
                </c:pt>
              </c:numCache>
            </c:numRef>
          </c:val>
          <c:smooth val="0"/>
        </c:ser>
        <c:ser>
          <c:idx val="1"/>
          <c:order val="1"/>
          <c:tx>
            <c:strRef>
              <c:f>Sheet1!$C$1</c:f>
              <c:strCache>
                <c:ptCount val="1"/>
                <c:pt idx="0">
                  <c:v>UE 15-19 ani</c:v>
                </c:pt>
              </c:strCache>
            </c:strRef>
          </c:tx>
          <c:spPr>
            <a:ln w="38100"/>
          </c:spPr>
          <c:marker>
            <c:spPr>
              <a:ln w="38100"/>
            </c:spPr>
          </c:marker>
          <c:dLbls>
            <c:dLbl>
              <c:idx val="0"/>
              <c:layout>
                <c:manualLayout>
                  <c:x val="-3.9351851851851853E-2"/>
                  <c:y val="-0.11867364746945905"/>
                </c:manualLayout>
              </c:layout>
              <c:tx>
                <c:rich>
                  <a:bodyPr/>
                  <a:lstStyle/>
                  <a:p>
                    <a:r>
                      <a:rPr lang="en-US" sz="800">
                        <a:latin typeface="Times New Roman" panose="02020603050405020304" pitchFamily="18" charset="0"/>
                        <a:cs typeface="Times New Roman" panose="02020603050405020304" pitchFamily="18" charset="0"/>
                      </a:rPr>
                      <a:t>3.06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406E-2"/>
                  <c:y val="-0.10471204188481675"/>
                </c:manualLayout>
              </c:layout>
              <c:tx>
                <c:rich>
                  <a:bodyPr/>
                  <a:lstStyle/>
                  <a:p>
                    <a:r>
                      <a:rPr lang="en-US" sz="800">
                        <a:latin typeface="Times New Roman" panose="02020603050405020304" pitchFamily="18" charset="0"/>
                        <a:cs typeface="Times New Roman" panose="02020603050405020304" pitchFamily="18" charset="0"/>
                      </a:rPr>
                      <a:t>2.98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776E-2"/>
                  <c:y val="-0.11867364746945892"/>
                </c:manualLayout>
              </c:layout>
              <c:tx>
                <c:rich>
                  <a:bodyPr/>
                  <a:lstStyle/>
                  <a:p>
                    <a:r>
                      <a:rPr lang="en-US" sz="800">
                        <a:latin typeface="Times New Roman" panose="02020603050405020304" pitchFamily="18" charset="0"/>
                        <a:cs typeface="Times New Roman" panose="02020603050405020304" pitchFamily="18" charset="0"/>
                      </a:rPr>
                      <a:t>2.86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0833333333333332E-2"/>
                  <c:y val="-0.11169284467713787"/>
                </c:manualLayout>
              </c:layout>
              <c:tx>
                <c:rich>
                  <a:bodyPr/>
                  <a:lstStyle/>
                  <a:p>
                    <a:r>
                      <a:rPr lang="en-US" sz="800">
                        <a:latin typeface="Times New Roman" panose="02020603050405020304" pitchFamily="18" charset="0"/>
                        <a:cs typeface="Times New Roman" panose="02020603050405020304" pitchFamily="18" charset="0"/>
                      </a:rPr>
                      <a:t>2.76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3.2407407407407406E-2"/>
                  <c:y val="-8.3769633507853464E-2"/>
                </c:manualLayout>
              </c:layout>
              <c:tx>
                <c:rich>
                  <a:bodyPr/>
                  <a:lstStyle/>
                  <a:p>
                    <a:r>
                      <a:rPr lang="en-US" sz="800">
                        <a:latin typeface="Times New Roman" panose="02020603050405020304" pitchFamily="18" charset="0"/>
                        <a:cs typeface="Times New Roman" panose="02020603050405020304" pitchFamily="18" charset="0"/>
                      </a:rPr>
                      <a:t>2.66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3.4722222222222224E-2"/>
                  <c:y val="-9.7731239092495703E-2"/>
                </c:manualLayout>
              </c:layout>
              <c:tx>
                <c:rich>
                  <a:bodyPr/>
                  <a:lstStyle/>
                  <a:p>
                    <a:r>
                      <a:rPr lang="en-US" sz="800">
                        <a:latin typeface="Times New Roman" panose="02020603050405020304" pitchFamily="18" charset="0"/>
                        <a:cs typeface="Times New Roman" panose="02020603050405020304" pitchFamily="18" charset="0"/>
                      </a:rPr>
                      <a:t>2.64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3.0092592592592591E-2"/>
                  <c:y val="-8.3769633507853408E-2"/>
                </c:manualLayout>
              </c:layout>
              <c:tx>
                <c:rich>
                  <a:bodyPr/>
                  <a:lstStyle/>
                  <a:p>
                    <a:r>
                      <a:rPr lang="en-US" sz="800">
                        <a:latin typeface="Times New Roman" panose="02020603050405020304" pitchFamily="18" charset="0"/>
                        <a:cs typeface="Times New Roman" panose="02020603050405020304" pitchFamily="18" charset="0"/>
                      </a:rPr>
                      <a:t>2.5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2.7777777777777776E-2"/>
                  <c:y val="-6.9808027923211169E-2"/>
                </c:manualLayout>
              </c:layout>
              <c:tx>
                <c:rich>
                  <a:bodyPr/>
                  <a:lstStyle/>
                  <a:p>
                    <a:r>
                      <a:rPr lang="en-US" sz="800">
                        <a:latin typeface="Times New Roman" panose="02020603050405020304" pitchFamily="18" charset="0"/>
                        <a:cs typeface="Times New Roman" panose="02020603050405020304" pitchFamily="18" charset="0"/>
                      </a:rPr>
                      <a:t>2.39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3.2407407407407406E-2"/>
                  <c:y val="-8.3769633507853339E-2"/>
                </c:manualLayout>
              </c:layout>
              <c:tx>
                <c:rich>
                  <a:bodyPr/>
                  <a:lstStyle/>
                  <a:p>
                    <a:r>
                      <a:rPr lang="en-US" sz="800">
                        <a:latin typeface="Times New Roman" panose="02020603050405020304" pitchFamily="18" charset="0"/>
                        <a:cs typeface="Times New Roman" panose="02020603050405020304" pitchFamily="18" charset="0"/>
                      </a:rPr>
                      <a:t>2.33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7777777777777693E-2"/>
                  <c:y val="-0.10471204188481682"/>
                </c:manualLayout>
              </c:layout>
              <c:tx>
                <c:rich>
                  <a:bodyPr/>
                  <a:lstStyle/>
                  <a:p>
                    <a:r>
                      <a:rPr lang="en-US" sz="800">
                        <a:latin typeface="Times New Roman" panose="02020603050405020304" pitchFamily="18" charset="0"/>
                        <a:cs typeface="Times New Roman" panose="02020603050405020304" pitchFamily="18" charset="0"/>
                      </a:rPr>
                      <a:t>2.22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pt idx="0">
                  <c:v>3.06</c:v>
                </c:pt>
                <c:pt idx="1">
                  <c:v>2.98</c:v>
                </c:pt>
                <c:pt idx="2">
                  <c:v>2.86</c:v>
                </c:pt>
                <c:pt idx="3">
                  <c:v>2.76</c:v>
                </c:pt>
                <c:pt idx="4">
                  <c:v>2.66</c:v>
                </c:pt>
                <c:pt idx="5">
                  <c:v>2.64</c:v>
                </c:pt>
                <c:pt idx="6">
                  <c:v>2.5</c:v>
                </c:pt>
                <c:pt idx="7">
                  <c:v>2.39</c:v>
                </c:pt>
                <c:pt idx="8">
                  <c:v>2.33</c:v>
                </c:pt>
                <c:pt idx="9">
                  <c:v>2.2200000000000002</c:v>
                </c:pt>
              </c:numCache>
            </c:numRef>
          </c:val>
          <c:smooth val="0"/>
        </c:ser>
        <c:ser>
          <c:idx val="2"/>
          <c:order val="2"/>
          <c:tx>
            <c:strRef>
              <c:f>Sheet1!$D$1</c:f>
              <c:strCache>
                <c:ptCount val="1"/>
                <c:pt idx="0">
                  <c:v>România 10-14 ani</c:v>
                </c:pt>
              </c:strCache>
            </c:strRef>
          </c:tx>
          <c:spPr>
            <a:ln w="38100">
              <a:solidFill>
                <a:srgbClr val="FF9900"/>
              </a:solidFill>
            </a:ln>
          </c:spPr>
          <c:marker>
            <c:spPr>
              <a:solidFill>
                <a:schemeClr val="accent3">
                  <a:lumMod val="75000"/>
                </a:schemeClr>
              </a:solidFill>
              <a:ln w="38100">
                <a:solidFill>
                  <a:srgbClr val="FF9900"/>
                </a:solidFill>
              </a:ln>
            </c:spPr>
          </c:marker>
          <c:dLbls>
            <c:dLbl>
              <c:idx val="0"/>
              <c:layout>
                <c:manualLayout>
                  <c:x val="0"/>
                  <c:y val="-7.6788830715532289E-2"/>
                </c:manualLayout>
              </c:layout>
              <c:tx>
                <c:rich>
                  <a:bodyPr/>
                  <a:lstStyle/>
                  <a:p>
                    <a:r>
                      <a:rPr lang="en-US" sz="800">
                        <a:latin typeface="Times New Roman" panose="02020603050405020304" pitchFamily="18" charset="0"/>
                        <a:cs typeface="Times New Roman" panose="02020603050405020304" pitchFamily="18" charset="0"/>
                      </a:rPr>
                      <a:t>0.38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2827225130890049E-2"/>
                </c:manualLayout>
              </c:layout>
              <c:tx>
                <c:rich>
                  <a:bodyPr/>
                  <a:lstStyle/>
                  <a:p>
                    <a:r>
                      <a:rPr lang="en-US" sz="800">
                        <a:latin typeface="Times New Roman" panose="02020603050405020304" pitchFamily="18" charset="0"/>
                        <a:cs typeface="Times New Roman" panose="02020603050405020304" pitchFamily="18" charset="0"/>
                      </a:rPr>
                      <a:t>0.39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6.2827225130890049E-2"/>
                </c:manualLayout>
              </c:layout>
              <c:tx>
                <c:rich>
                  <a:bodyPr/>
                  <a:lstStyle/>
                  <a:p>
                    <a:r>
                      <a:rPr lang="en-US" sz="800">
                        <a:latin typeface="Times New Roman" panose="02020603050405020304" pitchFamily="18" charset="0"/>
                        <a:cs typeface="Times New Roman" panose="02020603050405020304" pitchFamily="18" charset="0"/>
                      </a:rPr>
                      <a:t>0.38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3"/>
                  <c:y val="-6.2827225130890049E-2"/>
                </c:manualLayout>
              </c:layout>
              <c:tx>
                <c:rich>
                  <a:bodyPr/>
                  <a:lstStyle/>
                  <a:p>
                    <a:r>
                      <a:rPr lang="en-US" sz="800">
                        <a:latin typeface="Times New Roman" panose="02020603050405020304" pitchFamily="18" charset="0"/>
                        <a:cs typeface="Times New Roman" panose="02020603050405020304" pitchFamily="18" charset="0"/>
                      </a:rPr>
                      <a:t>0.36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5846422338568937E-2"/>
                </c:manualLayout>
              </c:layout>
              <c:tx>
                <c:rich>
                  <a:bodyPr/>
                  <a:lstStyle/>
                  <a:p>
                    <a:r>
                      <a:rPr lang="en-US" sz="800">
                        <a:latin typeface="Times New Roman" panose="02020603050405020304" pitchFamily="18" charset="0"/>
                        <a:cs typeface="Times New Roman" panose="02020603050405020304" pitchFamily="18" charset="0"/>
                      </a:rPr>
                      <a:t>0.34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5846422338568937E-2"/>
                </c:manualLayout>
              </c:layout>
              <c:tx>
                <c:rich>
                  <a:bodyPr/>
                  <a:lstStyle/>
                  <a:p>
                    <a:r>
                      <a:rPr lang="en-US" sz="800">
                        <a:latin typeface="Times New Roman" panose="02020603050405020304" pitchFamily="18" charset="0"/>
                        <a:cs typeface="Times New Roman" panose="02020603050405020304" pitchFamily="18" charset="0"/>
                      </a:rPr>
                      <a:t>0.35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2.3148148148148147E-3"/>
                  <c:y val="-4.8865619546247817E-2"/>
                </c:manualLayout>
              </c:layout>
              <c:tx>
                <c:rich>
                  <a:bodyPr/>
                  <a:lstStyle/>
                  <a:p>
                    <a:r>
                      <a:rPr lang="en-US" sz="800">
                        <a:latin typeface="Times New Roman" panose="02020603050405020304" pitchFamily="18" charset="0"/>
                        <a:cs typeface="Times New Roman" panose="02020603050405020304" pitchFamily="18" charset="0"/>
                      </a:rPr>
                      <a:t>0.36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2.3148148148148147E-3"/>
                  <c:y val="-4.1884816753926704E-2"/>
                </c:manualLayout>
              </c:layout>
              <c:tx>
                <c:rich>
                  <a:bodyPr/>
                  <a:lstStyle/>
                  <a:p>
                    <a:r>
                      <a:rPr lang="en-US" sz="800">
                        <a:latin typeface="Times New Roman" panose="02020603050405020304" pitchFamily="18" charset="0"/>
                        <a:cs typeface="Times New Roman" panose="02020603050405020304" pitchFamily="18" charset="0"/>
                      </a:rPr>
                      <a:t>0.36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2.3148148148148147E-3"/>
                  <c:y val="-6.2827225130890049E-2"/>
                </c:manualLayout>
              </c:layout>
              <c:tx>
                <c:rich>
                  <a:bodyPr/>
                  <a:lstStyle/>
                  <a:p>
                    <a:r>
                      <a:rPr lang="en-US" sz="800">
                        <a:latin typeface="Times New Roman" panose="02020603050405020304" pitchFamily="18" charset="0"/>
                        <a:cs typeface="Times New Roman" panose="02020603050405020304" pitchFamily="18" charset="0"/>
                      </a:rPr>
                      <a:t>0.38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6.9444444444443599E-3"/>
                  <c:y val="-5.5846422338568937E-2"/>
                </c:manualLayout>
              </c:layout>
              <c:tx>
                <c:rich>
                  <a:bodyPr/>
                  <a:lstStyle/>
                  <a:p>
                    <a:r>
                      <a:rPr lang="en-US" sz="800">
                        <a:latin typeface="Times New Roman" panose="02020603050405020304" pitchFamily="18" charset="0"/>
                        <a:cs typeface="Times New Roman" panose="02020603050405020304" pitchFamily="18" charset="0"/>
                      </a:rPr>
                      <a:t>0.37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Sheet1!$D$2:$D$11</c:f>
              <c:numCache>
                <c:formatCode>General</c:formatCode>
                <c:ptCount val="10"/>
                <c:pt idx="0">
                  <c:v>0.38</c:v>
                </c:pt>
                <c:pt idx="1">
                  <c:v>0.39</c:v>
                </c:pt>
                <c:pt idx="2">
                  <c:v>0.38</c:v>
                </c:pt>
                <c:pt idx="3">
                  <c:v>0.36</c:v>
                </c:pt>
                <c:pt idx="4">
                  <c:v>0.34</c:v>
                </c:pt>
                <c:pt idx="5">
                  <c:v>0.35</c:v>
                </c:pt>
                <c:pt idx="6">
                  <c:v>0.36</c:v>
                </c:pt>
                <c:pt idx="7">
                  <c:v>0.36</c:v>
                </c:pt>
                <c:pt idx="8">
                  <c:v>0.38</c:v>
                </c:pt>
                <c:pt idx="9">
                  <c:v>0.37</c:v>
                </c:pt>
              </c:numCache>
            </c:numRef>
          </c:val>
          <c:smooth val="0"/>
        </c:ser>
        <c:ser>
          <c:idx val="3"/>
          <c:order val="3"/>
          <c:tx>
            <c:strRef>
              <c:f>Sheet1!$E$1</c:f>
              <c:strCache>
                <c:ptCount val="1"/>
                <c:pt idx="0">
                  <c:v>România 15-19 ani</c:v>
                </c:pt>
              </c:strCache>
            </c:strRef>
          </c:tx>
          <c:spPr>
            <a:ln w="38100"/>
          </c:spPr>
          <c:marker>
            <c:spPr>
              <a:ln w="38100"/>
            </c:spPr>
          </c:marker>
          <c:dLbls>
            <c:dLbl>
              <c:idx val="0"/>
              <c:layout>
                <c:manualLayout>
                  <c:x val="-4.8611111111111112E-2"/>
                  <c:y val="-6.2827225130890049E-2"/>
                </c:manualLayout>
              </c:layout>
              <c:tx>
                <c:rich>
                  <a:bodyPr/>
                  <a:lstStyle/>
                  <a:p>
                    <a:r>
                      <a:rPr lang="en-US" sz="800">
                        <a:latin typeface="Times New Roman" panose="02020603050405020304" pitchFamily="18" charset="0"/>
                        <a:cs typeface="Times New Roman" panose="02020603050405020304" pitchFamily="18" charset="0"/>
                      </a:rPr>
                      <a:t>10.27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4722222222222224E-2"/>
                  <c:y val="-8.3769633507853408E-2"/>
                </c:manualLayout>
              </c:layout>
              <c:tx>
                <c:rich>
                  <a:bodyPr/>
                  <a:lstStyle/>
                  <a:p>
                    <a:r>
                      <a:rPr lang="en-US" sz="800">
                        <a:latin typeface="Times New Roman" panose="02020603050405020304" pitchFamily="18" charset="0"/>
                        <a:cs typeface="Times New Roman" panose="02020603050405020304" pitchFamily="18" charset="0"/>
                      </a:rPr>
                      <a:t>9.86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2407407407407406E-2"/>
                  <c:y val="-0.10471204188481675"/>
                </c:manualLayout>
              </c:layout>
              <c:tx>
                <c:rich>
                  <a:bodyPr/>
                  <a:lstStyle/>
                  <a:p>
                    <a:r>
                      <a:rPr lang="en-US" sz="800">
                        <a:latin typeface="Times New Roman" panose="02020603050405020304" pitchFamily="18" charset="0"/>
                        <a:cs typeface="Times New Roman" panose="02020603050405020304" pitchFamily="18" charset="0"/>
                      </a:rPr>
                      <a:t>9.78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3.0092592592592591E-2"/>
                  <c:y val="-8.3769633507853408E-2"/>
                </c:manualLayout>
              </c:layout>
              <c:tx>
                <c:rich>
                  <a:bodyPr/>
                  <a:lstStyle/>
                  <a:p>
                    <a:r>
                      <a:rPr lang="en-US" sz="800">
                        <a:latin typeface="Times New Roman" panose="02020603050405020304" pitchFamily="18" charset="0"/>
                        <a:cs typeface="Times New Roman" panose="02020603050405020304" pitchFamily="18" charset="0"/>
                      </a:rPr>
                      <a:t>9.65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8.376963350785338E-2"/>
                </c:manualLayout>
              </c:layout>
              <c:tx>
                <c:rich>
                  <a:bodyPr/>
                  <a:lstStyle/>
                  <a:p>
                    <a:r>
                      <a:rPr lang="en-US" sz="800">
                        <a:latin typeface="Times New Roman" panose="02020603050405020304" pitchFamily="18" charset="0"/>
                        <a:cs typeface="Times New Roman" panose="02020603050405020304" pitchFamily="18" charset="0"/>
                      </a:rPr>
                      <a:t>9.5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4.1666666666666664E-2"/>
                  <c:y val="-7.6788830715532275E-2"/>
                </c:manualLayout>
              </c:layout>
              <c:tx>
                <c:rich>
                  <a:bodyPr/>
                  <a:lstStyle/>
                  <a:p>
                    <a:r>
                      <a:rPr lang="en-US" sz="800">
                        <a:latin typeface="Times New Roman" panose="02020603050405020304" pitchFamily="18" charset="0"/>
                        <a:cs typeface="Times New Roman" panose="02020603050405020304" pitchFamily="18" charset="0"/>
                      </a:rPr>
                      <a:t>9.61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3.0092592592592591E-2"/>
                  <c:y val="-9.0750436300174514E-2"/>
                </c:manualLayout>
              </c:layout>
              <c:tx>
                <c:rich>
                  <a:bodyPr/>
                  <a:lstStyle/>
                  <a:p>
                    <a:r>
                      <a:rPr lang="en-US" sz="800">
                        <a:latin typeface="Times New Roman" panose="02020603050405020304" pitchFamily="18" charset="0"/>
                        <a:cs typeface="Times New Roman" panose="02020603050405020304" pitchFamily="18" charset="0"/>
                      </a:rPr>
                      <a:t>9.3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3.2407407407407406E-2"/>
                  <c:y val="-0.10471204188481675"/>
                </c:manualLayout>
              </c:layout>
              <c:tx>
                <c:rich>
                  <a:bodyPr/>
                  <a:lstStyle/>
                  <a:p>
                    <a:r>
                      <a:rPr lang="en-US" sz="800">
                        <a:latin typeface="Times New Roman" panose="02020603050405020304" pitchFamily="18" charset="0"/>
                        <a:cs typeface="Times New Roman" panose="02020603050405020304" pitchFamily="18" charset="0"/>
                      </a:rPr>
                      <a:t>9.12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3.9351851851851853E-2"/>
                  <c:y val="-0.10471204188481675"/>
                </c:manualLayout>
              </c:layout>
              <c:tx>
                <c:rich>
                  <a:bodyPr/>
                  <a:lstStyle/>
                  <a:p>
                    <a:r>
                      <a:rPr lang="en-US" sz="800">
                        <a:latin typeface="Times New Roman" panose="02020603050405020304" pitchFamily="18" charset="0"/>
                        <a:cs typeface="Times New Roman" panose="02020603050405020304" pitchFamily="18" charset="0"/>
                      </a:rPr>
                      <a:t>8.98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3148148148148064E-2"/>
                  <c:y val="-0.1256544502617801"/>
                </c:manualLayout>
              </c:layout>
              <c:tx>
                <c:rich>
                  <a:bodyPr/>
                  <a:lstStyle/>
                  <a:p>
                    <a:r>
                      <a:rPr lang="en-US" sz="800">
                        <a:latin typeface="Times New Roman" panose="02020603050405020304" pitchFamily="18" charset="0"/>
                        <a:cs typeface="Times New Roman" panose="02020603050405020304" pitchFamily="18" charset="0"/>
                      </a:rPr>
                      <a:t>8.76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Sheet1!$E$2:$E$11</c:f>
              <c:numCache>
                <c:formatCode>General</c:formatCode>
                <c:ptCount val="10"/>
                <c:pt idx="0">
                  <c:v>10.27</c:v>
                </c:pt>
                <c:pt idx="1">
                  <c:v>9.86</c:v>
                </c:pt>
                <c:pt idx="2">
                  <c:v>9.7799999999999994</c:v>
                </c:pt>
                <c:pt idx="3">
                  <c:v>9.65</c:v>
                </c:pt>
                <c:pt idx="4">
                  <c:v>9.5</c:v>
                </c:pt>
                <c:pt idx="5">
                  <c:v>9.61</c:v>
                </c:pt>
                <c:pt idx="6">
                  <c:v>9.3000000000000007</c:v>
                </c:pt>
                <c:pt idx="7">
                  <c:v>9.1199999999999992</c:v>
                </c:pt>
                <c:pt idx="8">
                  <c:v>8.98</c:v>
                </c:pt>
                <c:pt idx="9">
                  <c:v>8.76</c:v>
                </c:pt>
              </c:numCache>
            </c:numRef>
          </c:val>
          <c:smooth val="0"/>
        </c:ser>
        <c:dLbls>
          <c:showLegendKey val="0"/>
          <c:showVal val="1"/>
          <c:showCatName val="0"/>
          <c:showSerName val="0"/>
          <c:showPercent val="0"/>
          <c:showBubbleSize val="0"/>
        </c:dLbls>
        <c:marker val="1"/>
        <c:smooth val="0"/>
        <c:axId val="-805879232"/>
        <c:axId val="-805883584"/>
      </c:lineChart>
      <c:catAx>
        <c:axId val="-805879232"/>
        <c:scaling>
          <c:orientation val="minMax"/>
        </c:scaling>
        <c:delete val="0"/>
        <c:axPos val="b"/>
        <c:numFmt formatCode="General"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805883584"/>
        <c:crosses val="autoZero"/>
        <c:auto val="1"/>
        <c:lblAlgn val="ctr"/>
        <c:lblOffset val="100"/>
        <c:noMultiLvlLbl val="0"/>
      </c:catAx>
      <c:valAx>
        <c:axId val="-805883584"/>
        <c:scaling>
          <c:orientation val="minMax"/>
        </c:scaling>
        <c:delete val="0"/>
        <c:axPos val="l"/>
        <c:numFmt formatCode="General"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80587923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Sheet1!$B$1</c:f>
              <c:strCache>
                <c:ptCount val="1"/>
                <c:pt idx="0">
                  <c:v>2013</c:v>
                </c:pt>
              </c:strCache>
            </c:strRef>
          </c:tx>
          <c:invertIfNegative val="0"/>
          <c:dLbls>
            <c:dLbl>
              <c:idx val="0"/>
              <c:delete val="1"/>
              <c:extLst>
                <c:ext xmlns:c15="http://schemas.microsoft.com/office/drawing/2012/chart" uri="{CE6537A1-D6FC-4f65-9D91-7224C49458BB}"/>
              </c:extLst>
            </c:dLbl>
            <c:dLbl>
              <c:idx val="1"/>
              <c:layout>
                <c:manualLayout>
                  <c:x val="-1.0574146981627317E-2"/>
                  <c:y val="-1.46118721461187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9.6228856809565475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6.4944225721784779E-3"/>
                  <c:y val="-3.2876712328767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5967300962379704E-2"/>
                  <c:y val="-2.332839583170915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4.3416447944007001E-4"/>
                  <c:y val="-2.19178082191780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85994459025953E-2"/>
                  <c:y val="-1.82648401826484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4.2335593467483232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1.2750619714202391E-2"/>
                  <c:y val="-2.922374429223744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4.1796077573636632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8.63371245261009E-3"/>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5527121609798776E-2"/>
                  <c:y val="-3.2876712328767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2.9207677165354332E-2"/>
                  <c:y val="-7.306223708337827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1.0612605715952173E-2"/>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4.8614756488772025E-3"/>
                  <c:y val="-1.82648401826484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4.4808982210557012E-3"/>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1.6461796442111404E-2"/>
                  <c:y val="-3.652968036529680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UE</c:v>
                </c:pt>
                <c:pt idx="1">
                  <c:v>Bulgaria</c:v>
                </c:pt>
                <c:pt idx="2">
                  <c:v>Cehia</c:v>
                </c:pt>
                <c:pt idx="3">
                  <c:v>Danemarca</c:v>
                </c:pt>
                <c:pt idx="4">
                  <c:v>Germania</c:v>
                </c:pt>
                <c:pt idx="5">
                  <c:v>Estonia</c:v>
                </c:pt>
                <c:pt idx="6">
                  <c:v>Spania</c:v>
                </c:pt>
                <c:pt idx="7">
                  <c:v>Croația</c:v>
                </c:pt>
                <c:pt idx="8">
                  <c:v>Italia</c:v>
                </c:pt>
                <c:pt idx="9">
                  <c:v>Letonia</c:v>
                </c:pt>
                <c:pt idx="10">
                  <c:v>Lituania</c:v>
                </c:pt>
                <c:pt idx="11">
                  <c:v>Ungaria</c:v>
                </c:pt>
                <c:pt idx="12">
                  <c:v>Polonia</c:v>
                </c:pt>
                <c:pt idx="13">
                  <c:v>Portugalia</c:v>
                </c:pt>
                <c:pt idx="14">
                  <c:v>România</c:v>
                </c:pt>
                <c:pt idx="15">
                  <c:v>Slovenia</c:v>
                </c:pt>
                <c:pt idx="16">
                  <c:v>Slovacia</c:v>
                </c:pt>
                <c:pt idx="17">
                  <c:v>Finlanda</c:v>
                </c:pt>
              </c:strCache>
            </c:strRef>
          </c:cat>
          <c:val>
            <c:numRef>
              <c:f>Sheet1!$B$2:$B$19</c:f>
              <c:numCache>
                <c:formatCode>General</c:formatCode>
                <c:ptCount val="18"/>
                <c:pt idx="0">
                  <c:v>5.4</c:v>
                </c:pt>
                <c:pt idx="1">
                  <c:v>14.6</c:v>
                </c:pt>
                <c:pt idx="2">
                  <c:v>7.6</c:v>
                </c:pt>
                <c:pt idx="3">
                  <c:v>9.3000000000000007</c:v>
                </c:pt>
                <c:pt idx="4">
                  <c:v>4.5</c:v>
                </c:pt>
                <c:pt idx="5">
                  <c:v>15.4</c:v>
                </c:pt>
                <c:pt idx="6">
                  <c:v>7.9</c:v>
                </c:pt>
                <c:pt idx="7">
                  <c:v>2.6</c:v>
                </c:pt>
                <c:pt idx="8">
                  <c:v>5.9</c:v>
                </c:pt>
                <c:pt idx="9">
                  <c:v>9.5</c:v>
                </c:pt>
                <c:pt idx="10">
                  <c:v>6</c:v>
                </c:pt>
                <c:pt idx="11">
                  <c:v>12.2</c:v>
                </c:pt>
                <c:pt idx="12">
                  <c:v>0.1</c:v>
                </c:pt>
                <c:pt idx="13">
                  <c:v>0</c:v>
                </c:pt>
                <c:pt idx="14">
                  <c:v>14.9</c:v>
                </c:pt>
                <c:pt idx="15">
                  <c:v>6.9</c:v>
                </c:pt>
                <c:pt idx="16">
                  <c:v>6.6</c:v>
                </c:pt>
                <c:pt idx="17">
                  <c:v>6.8</c:v>
                </c:pt>
              </c:numCache>
            </c:numRef>
          </c:val>
        </c:ser>
        <c:ser>
          <c:idx val="1"/>
          <c:order val="1"/>
          <c:tx>
            <c:strRef>
              <c:f>Sheet1!$C$1</c:f>
              <c:strCache>
                <c:ptCount val="1"/>
                <c:pt idx="0">
                  <c:v>2016</c:v>
                </c:pt>
              </c:strCache>
            </c:strRef>
          </c:tx>
          <c:invertIfNegative val="0"/>
          <c:dLbls>
            <c:dLbl>
              <c:idx val="0"/>
              <c:layout>
                <c:manualLayout>
                  <c:x val="-2.090605861767279E-2"/>
                  <c:y val="-2.19178295782334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UE</c:v>
                </c:pt>
                <c:pt idx="1">
                  <c:v>Bulgaria</c:v>
                </c:pt>
                <c:pt idx="2">
                  <c:v>Cehia</c:v>
                </c:pt>
                <c:pt idx="3">
                  <c:v>Danemarca</c:v>
                </c:pt>
                <c:pt idx="4">
                  <c:v>Germania</c:v>
                </c:pt>
                <c:pt idx="5">
                  <c:v>Estonia</c:v>
                </c:pt>
                <c:pt idx="6">
                  <c:v>Spania</c:v>
                </c:pt>
                <c:pt idx="7">
                  <c:v>Croația</c:v>
                </c:pt>
                <c:pt idx="8">
                  <c:v>Italia</c:v>
                </c:pt>
                <c:pt idx="9">
                  <c:v>Letonia</c:v>
                </c:pt>
                <c:pt idx="10">
                  <c:v>Lituania</c:v>
                </c:pt>
                <c:pt idx="11">
                  <c:v>Ungaria</c:v>
                </c:pt>
                <c:pt idx="12">
                  <c:v>Polonia</c:v>
                </c:pt>
                <c:pt idx="13">
                  <c:v>Portugalia</c:v>
                </c:pt>
                <c:pt idx="14">
                  <c:v>România</c:v>
                </c:pt>
                <c:pt idx="15">
                  <c:v>Slovenia</c:v>
                </c:pt>
                <c:pt idx="16">
                  <c:v>Slovacia</c:v>
                </c:pt>
                <c:pt idx="17">
                  <c:v>Finlanda</c:v>
                </c:pt>
              </c:strCache>
            </c:strRef>
          </c:cat>
          <c:val>
            <c:numRef>
              <c:f>Sheet1!$C$2:$C$19</c:f>
              <c:numCache>
                <c:formatCode>General</c:formatCode>
                <c:ptCount val="18"/>
                <c:pt idx="0">
                  <c:v>3.73</c:v>
                </c:pt>
                <c:pt idx="1">
                  <c:v>13.6</c:v>
                </c:pt>
                <c:pt idx="2">
                  <c:v>6.9</c:v>
                </c:pt>
                <c:pt idx="3">
                  <c:v>0</c:v>
                </c:pt>
                <c:pt idx="4">
                  <c:v>4.4000000000000004</c:v>
                </c:pt>
                <c:pt idx="5">
                  <c:v>12.2</c:v>
                </c:pt>
                <c:pt idx="6">
                  <c:v>0</c:v>
                </c:pt>
                <c:pt idx="7">
                  <c:v>2.2000000000000002</c:v>
                </c:pt>
                <c:pt idx="8">
                  <c:v>5</c:v>
                </c:pt>
                <c:pt idx="9">
                  <c:v>8</c:v>
                </c:pt>
                <c:pt idx="10">
                  <c:v>5.5</c:v>
                </c:pt>
                <c:pt idx="11">
                  <c:v>10.8</c:v>
                </c:pt>
                <c:pt idx="12">
                  <c:v>0.1</c:v>
                </c:pt>
                <c:pt idx="13">
                  <c:v>5.3</c:v>
                </c:pt>
                <c:pt idx="14">
                  <c:v>11.3</c:v>
                </c:pt>
                <c:pt idx="15">
                  <c:v>6.6</c:v>
                </c:pt>
                <c:pt idx="16">
                  <c:v>5.8</c:v>
                </c:pt>
                <c:pt idx="17">
                  <c:v>6.4</c:v>
                </c:pt>
              </c:numCache>
            </c:numRef>
          </c:val>
        </c:ser>
        <c:ser>
          <c:idx val="2"/>
          <c:order val="2"/>
          <c:tx>
            <c:strRef>
              <c:f>Sheet1!$D$1</c:f>
              <c:strCache>
                <c:ptCount val="1"/>
                <c:pt idx="0">
                  <c:v>2020</c:v>
                </c:pt>
              </c:strCache>
            </c:strRef>
          </c:tx>
          <c:invertIfNegative val="0"/>
          <c:dLbls>
            <c:dLbl>
              <c:idx val="0"/>
              <c:layout>
                <c:manualLayout>
                  <c:x val="7.9496573344998538E-3"/>
                  <c:y val="-3.44138665835087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7644903762029745E-2"/>
                  <c:y val="-2.922374429223744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654782735491397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5949803149606298E-2"/>
                  <c:y val="-3.2876712328767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1.6793890347039934E-2"/>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8.5983522892971714E-3"/>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7.4848716827063287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5.5158209390492857E-3"/>
                  <c:y val="-2.922374429223744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9.1796077573636625E-3"/>
                  <c:y val="-4.018264840182648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7.9091936424613585E-3"/>
                  <c:y val="-1.82648401826484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7.324292796733742E-3"/>
                  <c:y val="-2.922374429223744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7.8384733158355212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4.5168051910177897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4.2514216972878386E-3"/>
                  <c:y val="-3.652968036529680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UE</c:v>
                </c:pt>
                <c:pt idx="1">
                  <c:v>Bulgaria</c:v>
                </c:pt>
                <c:pt idx="2">
                  <c:v>Cehia</c:v>
                </c:pt>
                <c:pt idx="3">
                  <c:v>Danemarca</c:v>
                </c:pt>
                <c:pt idx="4">
                  <c:v>Germania</c:v>
                </c:pt>
                <c:pt idx="5">
                  <c:v>Estonia</c:v>
                </c:pt>
                <c:pt idx="6">
                  <c:v>Spania</c:v>
                </c:pt>
                <c:pt idx="7">
                  <c:v>Croația</c:v>
                </c:pt>
                <c:pt idx="8">
                  <c:v>Italia</c:v>
                </c:pt>
                <c:pt idx="9">
                  <c:v>Letonia</c:v>
                </c:pt>
                <c:pt idx="10">
                  <c:v>Lituania</c:v>
                </c:pt>
                <c:pt idx="11">
                  <c:v>Ungaria</c:v>
                </c:pt>
                <c:pt idx="12">
                  <c:v>Polonia</c:v>
                </c:pt>
                <c:pt idx="13">
                  <c:v>Portugalia</c:v>
                </c:pt>
                <c:pt idx="14">
                  <c:v>România</c:v>
                </c:pt>
                <c:pt idx="15">
                  <c:v>Slovenia</c:v>
                </c:pt>
                <c:pt idx="16">
                  <c:v>Slovacia</c:v>
                </c:pt>
                <c:pt idx="17">
                  <c:v>Finlanda</c:v>
                </c:pt>
              </c:strCache>
            </c:strRef>
          </c:cat>
          <c:val>
            <c:numRef>
              <c:f>Sheet1!$D$2:$D$19</c:f>
              <c:numCache>
                <c:formatCode>General</c:formatCode>
                <c:ptCount val="18"/>
                <c:pt idx="0">
                  <c:v>4.0199999999999996</c:v>
                </c:pt>
                <c:pt idx="1">
                  <c:v>11.9</c:v>
                </c:pt>
                <c:pt idx="2">
                  <c:v>6.4</c:v>
                </c:pt>
                <c:pt idx="3">
                  <c:v>0</c:v>
                </c:pt>
                <c:pt idx="4">
                  <c:v>5.4</c:v>
                </c:pt>
                <c:pt idx="5">
                  <c:v>0</c:v>
                </c:pt>
                <c:pt idx="6">
                  <c:v>7.5</c:v>
                </c:pt>
                <c:pt idx="7">
                  <c:v>2.7</c:v>
                </c:pt>
                <c:pt idx="8">
                  <c:v>4.9000000000000004</c:v>
                </c:pt>
                <c:pt idx="9">
                  <c:v>6.4</c:v>
                </c:pt>
                <c:pt idx="10">
                  <c:v>4.3</c:v>
                </c:pt>
                <c:pt idx="11">
                  <c:v>9.8000000000000007</c:v>
                </c:pt>
                <c:pt idx="12">
                  <c:v>0</c:v>
                </c:pt>
                <c:pt idx="13">
                  <c:v>5.6</c:v>
                </c:pt>
                <c:pt idx="14">
                  <c:v>6.7</c:v>
                </c:pt>
                <c:pt idx="15">
                  <c:v>6.1</c:v>
                </c:pt>
                <c:pt idx="16">
                  <c:v>4.4000000000000004</c:v>
                </c:pt>
                <c:pt idx="17">
                  <c:v>6.5</c:v>
                </c:pt>
              </c:numCache>
            </c:numRef>
          </c:val>
        </c:ser>
        <c:dLbls>
          <c:dLblPos val="inEnd"/>
          <c:showLegendKey val="0"/>
          <c:showVal val="1"/>
          <c:showCatName val="0"/>
          <c:showSerName val="0"/>
          <c:showPercent val="0"/>
          <c:showBubbleSize val="0"/>
        </c:dLbls>
        <c:gapWidth val="150"/>
        <c:overlap val="100"/>
        <c:axId val="-805904800"/>
        <c:axId val="-805886304"/>
      </c:barChart>
      <c:catAx>
        <c:axId val="-805904800"/>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805886304"/>
        <c:crosses val="autoZero"/>
        <c:auto val="1"/>
        <c:lblAlgn val="ctr"/>
        <c:lblOffset val="100"/>
        <c:noMultiLvlLbl val="0"/>
      </c:catAx>
      <c:valAx>
        <c:axId val="-805886304"/>
        <c:scaling>
          <c:orientation val="minMax"/>
        </c:scaling>
        <c:delete val="0"/>
        <c:axPos val="b"/>
        <c:majorGridlines/>
        <c:numFmt formatCode="General" sourceLinked="1"/>
        <c:majorTickMark val="out"/>
        <c:minorTickMark val="none"/>
        <c:tickLblPos val="nextTo"/>
        <c:crossAx val="-8059048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95135667464317"/>
          <c:y val="3.7918147399716627E-2"/>
          <c:w val="0.74817266687164952"/>
          <c:h val="0.86319466703830161"/>
        </c:manualLayout>
      </c:layout>
      <c:barChart>
        <c:barDir val="bar"/>
        <c:grouping val="stacked"/>
        <c:varyColors val="0"/>
        <c:ser>
          <c:idx val="0"/>
          <c:order val="0"/>
          <c:tx>
            <c:strRef>
              <c:f>Sheet1!$B$1</c:f>
              <c:strCache>
                <c:ptCount val="1"/>
                <c:pt idx="0">
                  <c:v>2011</c:v>
                </c:pt>
              </c:strCache>
            </c:strRef>
          </c:tx>
          <c:invertIfNegative val="0"/>
          <c:dLbls>
            <c:dLbl>
              <c:idx val="0"/>
              <c:layout>
                <c:manualLayout>
                  <c:x val="-4.5155051713612199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7.0246736984702044E-4"/>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7.2207442660499358E-4"/>
                  <c:y val="-2.064919982347339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3378251317906145E-2"/>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1222945603785945E-3"/>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2457789126104568E-2"/>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6449919566505801E-3"/>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5881626850973E-2"/>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1.0275345462971628E-2"/>
                  <c:y val="-1.76991150442478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1774037583162885E-2"/>
                  <c:y val="-2.359905233084802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7.67099358760121E-3"/>
                  <c:y val="-1.4749262536873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7.4936388469267956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0.22241050938242218"/>
                  <c:y val="-4.7197640117994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6.6305718576349431E-3"/>
                  <c:y val="-1.76991150442478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8.4288954542821367E-3"/>
                  <c:y val="-2.064896755162239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1.9627555044583772E-2"/>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2.3282488670240708E-3"/>
                  <c:y val="-3.539823008849557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Sheet1!$B$2:$B$21</c:f>
              <c:numCache>
                <c:formatCode>General</c:formatCode>
                <c:ptCount val="20"/>
                <c:pt idx="0">
                  <c:v>0.36</c:v>
                </c:pt>
                <c:pt idx="1">
                  <c:v>0.44</c:v>
                </c:pt>
                <c:pt idx="2">
                  <c:v>0.56999999999999995</c:v>
                </c:pt>
                <c:pt idx="3">
                  <c:v>0.12</c:v>
                </c:pt>
                <c:pt idx="4">
                  <c:v>0</c:v>
                </c:pt>
                <c:pt idx="5">
                  <c:v>0.34</c:v>
                </c:pt>
                <c:pt idx="6">
                  <c:v>0.13</c:v>
                </c:pt>
                <c:pt idx="7">
                  <c:v>0.38</c:v>
                </c:pt>
                <c:pt idx="8">
                  <c:v>0.09</c:v>
                </c:pt>
                <c:pt idx="9">
                  <c:v>0.25</c:v>
                </c:pt>
                <c:pt idx="10">
                  <c:v>0.1</c:v>
                </c:pt>
                <c:pt idx="11">
                  <c:v>0.06</c:v>
                </c:pt>
                <c:pt idx="12">
                  <c:v>0.44</c:v>
                </c:pt>
                <c:pt idx="13">
                  <c:v>3.44</c:v>
                </c:pt>
                <c:pt idx="14">
                  <c:v>0.41</c:v>
                </c:pt>
                <c:pt idx="15">
                  <c:v>0.45</c:v>
                </c:pt>
                <c:pt idx="16">
                  <c:v>0</c:v>
                </c:pt>
                <c:pt idx="17">
                  <c:v>0.15</c:v>
                </c:pt>
                <c:pt idx="18">
                  <c:v>0.53</c:v>
                </c:pt>
              </c:numCache>
            </c:numRef>
          </c:val>
          <c:extLst xmlns:c16r2="http://schemas.microsoft.com/office/drawing/2015/06/chart">
            <c:ext xmlns:c16="http://schemas.microsoft.com/office/drawing/2014/chart" uri="{C3380CC4-5D6E-409C-BE32-E72D297353CC}">
              <c16:uniqueId val="{00000000-41DA-4660-9826-A3BA88C0F736}"/>
            </c:ext>
          </c:extLst>
        </c:ser>
        <c:ser>
          <c:idx val="1"/>
          <c:order val="1"/>
          <c:tx>
            <c:strRef>
              <c:f>Sheet1!$C$1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41DA-4660-9826-A3BA88C0F736}"/>
            </c:ext>
          </c:extLst>
        </c:ser>
        <c:ser>
          <c:idx val="2"/>
          <c:order val="2"/>
          <c:tx>
            <c:strRef>
              <c:f>Sheet1!$D$1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41DA-4660-9826-A3BA88C0F736}"/>
            </c:ext>
          </c:extLst>
        </c:ser>
        <c:ser>
          <c:idx val="3"/>
          <c:order val="3"/>
          <c:tx>
            <c:strRef>
              <c:f>Sheet1!$E$1</c:f>
              <c:strCache>
                <c:ptCount val="1"/>
                <c:pt idx="0">
                  <c:v>Column3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Sheet1!$E$2:$E$21</c:f>
              <c:numCache>
                <c:formatCode>General</c:formatCode>
                <c:ptCount val="20"/>
              </c:numCache>
            </c:numRef>
          </c:val>
          <c:extLst xmlns:c16r2="http://schemas.microsoft.com/office/drawing/2015/06/chart">
            <c:ext xmlns:c16="http://schemas.microsoft.com/office/drawing/2014/chart" uri="{C3380CC4-5D6E-409C-BE32-E72D297353CC}">
              <c16:uniqueId val="{00000003-41DA-4660-9826-A3BA88C0F736}"/>
            </c:ext>
          </c:extLst>
        </c:ser>
        <c:ser>
          <c:idx val="4"/>
          <c:order val="4"/>
          <c:tx>
            <c:strRef>
              <c:f>Sheet1!$F$1</c:f>
              <c:strCache>
                <c:ptCount val="1"/>
                <c:pt idx="0">
                  <c:v>Column4</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Sheet1!$F$2:$F$21</c:f>
              <c:numCache>
                <c:formatCode>General</c:formatCode>
                <c:ptCount val="20"/>
              </c:numCache>
            </c:numRef>
          </c:val>
          <c:extLst xmlns:c16r2="http://schemas.microsoft.com/office/drawing/2015/06/chart">
            <c:ext xmlns:c16="http://schemas.microsoft.com/office/drawing/2014/chart" uri="{C3380CC4-5D6E-409C-BE32-E72D297353CC}">
              <c16:uniqueId val="{00000004-41DA-4660-9826-A3BA88C0F736}"/>
            </c:ext>
          </c:extLst>
        </c:ser>
        <c:ser>
          <c:idx val="5"/>
          <c:order val="5"/>
          <c:tx>
            <c:strRef>
              <c:f>Sheet1!$G$1</c:f>
              <c:strCache>
                <c:ptCount val="1"/>
                <c:pt idx="0">
                  <c:v>2016</c:v>
                </c:pt>
              </c:strCache>
            </c:strRef>
          </c:tx>
          <c:invertIfNegative val="0"/>
          <c:dLbls>
            <c:dLbl>
              <c:idx val="0"/>
              <c:layout>
                <c:manualLayout>
                  <c:x val="-9.2331412733000901E-4"/>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3165247383126345E-3"/>
                  <c:y val="-1.769911504424789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0726084960941873E-2"/>
                  <c:y val="-3.24483775811209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5.0573729217633871E-3"/>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5.8868761948050213E-2"/>
                  <c:y val="-1.179941002949852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4.4868075701063473E-3"/>
                  <c:y val="-1.179941002949857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5508112419733612E-2"/>
                  <c:y val="-1.76991150442478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4807739440040284E-2"/>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2.0586696611989714E-2"/>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1.3474325896020234E-2"/>
                  <c:y val="-1.76991150442478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2.0342143140426632E-2"/>
                  <c:y val="-3.834808259587017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1.8298731334304775E-3"/>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5.7480760575556239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Sheet1!$G$2:$G$21</c:f>
              <c:numCache>
                <c:formatCode>General</c:formatCode>
                <c:ptCount val="20"/>
                <c:pt idx="0">
                  <c:v>0.35</c:v>
                </c:pt>
                <c:pt idx="1">
                  <c:v>0</c:v>
                </c:pt>
                <c:pt idx="2">
                  <c:v>0.37</c:v>
                </c:pt>
                <c:pt idx="3">
                  <c:v>0.17</c:v>
                </c:pt>
                <c:pt idx="4">
                  <c:v>0</c:v>
                </c:pt>
                <c:pt idx="5">
                  <c:v>0.33</c:v>
                </c:pt>
                <c:pt idx="6">
                  <c:v>0.36</c:v>
                </c:pt>
                <c:pt idx="7">
                  <c:v>0</c:v>
                </c:pt>
                <c:pt idx="8">
                  <c:v>0</c:v>
                </c:pt>
                <c:pt idx="9">
                  <c:v>0.19</c:v>
                </c:pt>
                <c:pt idx="10">
                  <c:v>0.09</c:v>
                </c:pt>
                <c:pt idx="11">
                  <c:v>0.02</c:v>
                </c:pt>
                <c:pt idx="12">
                  <c:v>0.57999999999999996</c:v>
                </c:pt>
                <c:pt idx="13">
                  <c:v>0</c:v>
                </c:pt>
                <c:pt idx="14">
                  <c:v>0.24</c:v>
                </c:pt>
                <c:pt idx="15">
                  <c:v>0.65</c:v>
                </c:pt>
                <c:pt idx="16">
                  <c:v>0</c:v>
                </c:pt>
                <c:pt idx="17">
                  <c:v>0.21</c:v>
                </c:pt>
                <c:pt idx="18">
                  <c:v>0.25</c:v>
                </c:pt>
              </c:numCache>
            </c:numRef>
          </c:val>
          <c:extLst xmlns:c16r2="http://schemas.microsoft.com/office/drawing/2015/06/chart">
            <c:ext xmlns:c16="http://schemas.microsoft.com/office/drawing/2014/chart" uri="{C3380CC4-5D6E-409C-BE32-E72D297353CC}">
              <c16:uniqueId val="{00000005-41DA-4660-9826-A3BA88C0F736}"/>
            </c:ext>
          </c:extLst>
        </c:ser>
        <c:ser>
          <c:idx val="6"/>
          <c:order val="6"/>
          <c:tx>
            <c:strRef>
              <c:f>Sheet1!$H$1</c:f>
              <c:strCache>
                <c:ptCount val="1"/>
                <c:pt idx="0">
                  <c:v>Column5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Sheet1!$H$2:$H$21</c:f>
              <c:numCache>
                <c:formatCode>General</c:formatCode>
                <c:ptCount val="20"/>
              </c:numCache>
            </c:numRef>
          </c:val>
          <c:extLst xmlns:c16r2="http://schemas.microsoft.com/office/drawing/2015/06/chart">
            <c:ext xmlns:c16="http://schemas.microsoft.com/office/drawing/2014/chart" uri="{C3380CC4-5D6E-409C-BE32-E72D297353CC}">
              <c16:uniqueId val="{00000006-41DA-4660-9826-A3BA88C0F736}"/>
            </c:ext>
          </c:extLst>
        </c:ser>
        <c:ser>
          <c:idx val="7"/>
          <c:order val="7"/>
          <c:tx>
            <c:strRef>
              <c:f>Sheet1!$I$1</c:f>
              <c:strCache>
                <c:ptCount val="1"/>
                <c:pt idx="0">
                  <c:v>Column6</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Sheet1!$I$2:$I$21</c:f>
              <c:numCache>
                <c:formatCode>General</c:formatCode>
                <c:ptCount val="20"/>
              </c:numCache>
            </c:numRef>
          </c:val>
          <c:extLst xmlns:c16r2="http://schemas.microsoft.com/office/drawing/2015/06/chart">
            <c:ext xmlns:c16="http://schemas.microsoft.com/office/drawing/2014/chart" uri="{C3380CC4-5D6E-409C-BE32-E72D297353CC}">
              <c16:uniqueId val="{00000007-41DA-4660-9826-A3BA88C0F736}"/>
            </c:ext>
          </c:extLst>
        </c:ser>
        <c:ser>
          <c:idx val="8"/>
          <c:order val="8"/>
          <c:tx>
            <c:strRef>
              <c:f>Sheet1!$J$1</c:f>
              <c:strCache>
                <c:ptCount val="1"/>
                <c:pt idx="0">
                  <c:v>Column7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Sheet1!$J$2:$J$21</c:f>
              <c:numCache>
                <c:formatCode>General</c:formatCode>
                <c:ptCount val="20"/>
              </c:numCache>
            </c:numRef>
          </c:val>
          <c:extLst xmlns:c16r2="http://schemas.microsoft.com/office/drawing/2015/06/chart">
            <c:ext xmlns:c16="http://schemas.microsoft.com/office/drawing/2014/chart" uri="{C3380CC4-5D6E-409C-BE32-E72D297353CC}">
              <c16:uniqueId val="{00000008-41DA-4660-9826-A3BA88C0F736}"/>
            </c:ext>
          </c:extLst>
        </c:ser>
        <c:ser>
          <c:idx val="9"/>
          <c:order val="9"/>
          <c:tx>
            <c:strRef>
              <c:f>Sheet1!$K$1</c:f>
              <c:strCache>
                <c:ptCount val="1"/>
                <c:pt idx="0">
                  <c:v>2020</c:v>
                </c:pt>
              </c:strCache>
            </c:strRef>
          </c:tx>
          <c:invertIfNegative val="0"/>
          <c:dLbls>
            <c:dLbl>
              <c:idx val="0"/>
              <c:layout>
                <c:manualLayout>
                  <c:x val="6.9302033340908785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5910591821183644E-2"/>
                  <c:y val="-3.244837758112105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8284159726214186E-2"/>
                  <c:y val="-1.179941002949852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1.7824418806732349E-2"/>
                  <c:y val="-3.24483775811209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5202197772816598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5.335347512800289E-2"/>
                  <c:y val="-5.4080004565040679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5.4384806313472277E-2"/>
                  <c:y val="-2.3227185097438042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6.5703425441938607E-2"/>
                  <c:y val="-5.8999372866002367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2.0586696611989714E-2"/>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6.3573207848170079E-3"/>
                  <c:y val="-2.064896755162244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1.1484387881056878E-3"/>
                  <c:y val="-4.719764011799407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3.1747568056539624E-2"/>
                  <c:y val="-1.769911504424778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2.4615590283812147E-2"/>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1.2659028826829583E-2"/>
                  <c:y val="-4.1297935103244837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Sheet1!$K$2:$K$21</c:f>
              <c:numCache>
                <c:formatCode>General</c:formatCode>
                <c:ptCount val="20"/>
                <c:pt idx="0">
                  <c:v>0.3</c:v>
                </c:pt>
                <c:pt idx="1">
                  <c:v>0</c:v>
                </c:pt>
                <c:pt idx="2">
                  <c:v>0.53</c:v>
                </c:pt>
                <c:pt idx="3">
                  <c:v>0.15</c:v>
                </c:pt>
                <c:pt idx="4">
                  <c:v>0</c:v>
                </c:pt>
                <c:pt idx="5">
                  <c:v>0.26</c:v>
                </c:pt>
                <c:pt idx="6">
                  <c:v>0</c:v>
                </c:pt>
                <c:pt idx="7">
                  <c:v>0.28999999999999998</c:v>
                </c:pt>
                <c:pt idx="8">
                  <c:v>0</c:v>
                </c:pt>
                <c:pt idx="9">
                  <c:v>0.18</c:v>
                </c:pt>
                <c:pt idx="10">
                  <c:v>7.0000000000000007E-2</c:v>
                </c:pt>
                <c:pt idx="11">
                  <c:v>7.0000000000000007E-2</c:v>
                </c:pt>
                <c:pt idx="12">
                  <c:v>0.57999999999999996</c:v>
                </c:pt>
                <c:pt idx="13">
                  <c:v>0</c:v>
                </c:pt>
                <c:pt idx="14">
                  <c:v>0.21</c:v>
                </c:pt>
                <c:pt idx="15">
                  <c:v>0.59</c:v>
                </c:pt>
                <c:pt idx="16">
                  <c:v>7.0000000000000007E-2</c:v>
                </c:pt>
                <c:pt idx="17">
                  <c:v>0.26</c:v>
                </c:pt>
                <c:pt idx="18">
                  <c:v>0.35</c:v>
                </c:pt>
              </c:numCache>
            </c:numRef>
          </c:val>
          <c:extLst xmlns:c16r2="http://schemas.microsoft.com/office/drawing/2015/06/chart">
            <c:ext xmlns:c16="http://schemas.microsoft.com/office/drawing/2014/chart" uri="{C3380CC4-5D6E-409C-BE32-E72D297353CC}">
              <c16:uniqueId val="{00000009-41DA-4660-9826-A3BA88C0F736}"/>
            </c:ext>
          </c:extLst>
        </c:ser>
        <c:ser>
          <c:idx val="10"/>
          <c:order val="10"/>
          <c:tx>
            <c:strRef>
              <c:f>Sheet1!$L$1</c:f>
              <c:strCache>
                <c:ptCount val="1"/>
                <c:pt idx="0">
                  <c:v>2021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Sheet1!$L$2:$L$21</c:f>
              <c:numCache>
                <c:formatCode>General</c:formatCode>
                <c:ptCount val="20"/>
              </c:numCache>
            </c:numRef>
          </c:val>
        </c:ser>
        <c:dLbls>
          <c:dLblPos val="inEnd"/>
          <c:showLegendKey val="0"/>
          <c:showVal val="1"/>
          <c:showCatName val="0"/>
          <c:showSerName val="0"/>
          <c:showPercent val="0"/>
          <c:showBubbleSize val="0"/>
        </c:dLbls>
        <c:gapWidth val="150"/>
        <c:overlap val="100"/>
        <c:axId val="-805881952"/>
        <c:axId val="-805890112"/>
      </c:barChart>
      <c:catAx>
        <c:axId val="-805881952"/>
        <c:scaling>
          <c:orientation val="minMax"/>
        </c:scaling>
        <c:delete val="0"/>
        <c:axPos val="l"/>
        <c:numFmt formatCode="General" sourceLinked="0"/>
        <c:majorTickMark val="out"/>
        <c:minorTickMark val="none"/>
        <c:tickLblPos val="nextTo"/>
        <c:txPr>
          <a:bodyPr rot="0" vert="horz"/>
          <a:lstStyle/>
          <a:p>
            <a:pPr>
              <a:defRPr sz="800" baseline="0">
                <a:latin typeface="Times New Roman" panose="02020603050405020304" pitchFamily="18" charset="0"/>
                <a:cs typeface="Times New Roman" panose="02020603050405020304" pitchFamily="18" charset="0"/>
              </a:defRPr>
            </a:pPr>
            <a:endParaRPr lang="en-US"/>
          </a:p>
        </c:txPr>
        <c:crossAx val="-805890112"/>
        <c:crosses val="autoZero"/>
        <c:auto val="1"/>
        <c:lblAlgn val="ctr"/>
        <c:lblOffset val="100"/>
        <c:noMultiLvlLbl val="0"/>
      </c:catAx>
      <c:valAx>
        <c:axId val="-805890112"/>
        <c:scaling>
          <c:orientation val="minMax"/>
        </c:scaling>
        <c:delete val="0"/>
        <c:axPos val="b"/>
        <c:majorGridlines/>
        <c:numFmt formatCode="General" sourceLinked="1"/>
        <c:majorTickMark val="out"/>
        <c:minorTickMark val="none"/>
        <c:tickLblPos val="nextTo"/>
        <c:txPr>
          <a:bodyPr/>
          <a:lstStyle/>
          <a:p>
            <a:pPr>
              <a:defRPr sz="800"/>
            </a:pPr>
            <a:endParaRPr lang="en-US"/>
          </a:p>
        </c:txPr>
        <c:crossAx val="-805881952"/>
        <c:crosses val="autoZero"/>
        <c:crossBetween val="between"/>
      </c:valAx>
    </c:plotArea>
    <c:legend>
      <c:legendPos val="r"/>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10"/>
        <c:delete val="1"/>
      </c:legendEntry>
      <c:layout>
        <c:manualLayout>
          <c:xMode val="edge"/>
          <c:yMode val="edge"/>
          <c:x val="0.88400465221983071"/>
          <c:y val="0.39355004297029239"/>
          <c:w val="7.7253051348207952E-2"/>
          <c:h val="0.16791162298742507"/>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924012547212083E-2"/>
          <c:y val="4.9717514124293788E-2"/>
          <c:w val="0.77946371337729126"/>
          <c:h val="0.88349260690239806"/>
        </c:manualLayout>
      </c:layout>
      <c:barChart>
        <c:barDir val="bar"/>
        <c:grouping val="stacked"/>
        <c:varyColors val="0"/>
        <c:ser>
          <c:idx val="0"/>
          <c:order val="0"/>
          <c:tx>
            <c:strRef>
              <c:f>Sheet1!$B$1</c:f>
              <c:strCache>
                <c:ptCount val="1"/>
                <c:pt idx="0">
                  <c:v>2011</c:v>
                </c:pt>
              </c:strCache>
            </c:strRef>
          </c:tx>
          <c:invertIfNegative val="0"/>
          <c:dLbls>
            <c:dLbl>
              <c:idx val="0"/>
              <c:layout>
                <c:manualLayout>
                  <c:x val="4.1867912852356873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8538676567868037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9041503958346673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9.117640782707238E-4"/>
                  <c:y val="-4.251207729468599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2108614471971492E-2"/>
                  <c:y val="-2.31884057971015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3.7343746665813117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4.2985724345432429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4.6587542410857177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3.09841025969315E-2"/>
                  <c:y val="-1.54589371980676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4.9110641657597681E-2"/>
                  <c:y val="-3.478260869565217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9826216844845615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5.2711094040074256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6.0790303651068009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4.2928536371977896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8215863260994813E-2"/>
                  <c:y val="-2.705314009661835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4.7060068710923289E-2"/>
                  <c:y val="-3.478260869565218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Sheet1!$B$2:$B$21</c:f>
              <c:numCache>
                <c:formatCode>General</c:formatCode>
                <c:ptCount val="20"/>
                <c:pt idx="0">
                  <c:v>10.039999999999999</c:v>
                </c:pt>
                <c:pt idx="1">
                  <c:v>13.15</c:v>
                </c:pt>
                <c:pt idx="2">
                  <c:v>9.73</c:v>
                </c:pt>
                <c:pt idx="3">
                  <c:v>7.95</c:v>
                </c:pt>
                <c:pt idx="4">
                  <c:v>0</c:v>
                </c:pt>
                <c:pt idx="5">
                  <c:v>9.68</c:v>
                </c:pt>
                <c:pt idx="6">
                  <c:v>9.6300000000000008</c:v>
                </c:pt>
                <c:pt idx="7">
                  <c:v>11.94</c:v>
                </c:pt>
                <c:pt idx="8">
                  <c:v>0.09</c:v>
                </c:pt>
                <c:pt idx="9">
                  <c:v>8.1300000000000008</c:v>
                </c:pt>
                <c:pt idx="10">
                  <c:v>7.21</c:v>
                </c:pt>
                <c:pt idx="11">
                  <c:v>0.06</c:v>
                </c:pt>
                <c:pt idx="12">
                  <c:v>11.81</c:v>
                </c:pt>
                <c:pt idx="13">
                  <c:v>0</c:v>
                </c:pt>
                <c:pt idx="14">
                  <c:v>11.1</c:v>
                </c:pt>
                <c:pt idx="15">
                  <c:v>9.27</c:v>
                </c:pt>
                <c:pt idx="16">
                  <c:v>0</c:v>
                </c:pt>
                <c:pt idx="17">
                  <c:v>8.06</c:v>
                </c:pt>
                <c:pt idx="18">
                  <c:v>18.600000000000001</c:v>
                </c:pt>
              </c:numCache>
            </c:numRef>
          </c:val>
          <c:extLst xmlns:c16r2="http://schemas.microsoft.com/office/drawing/2015/06/chart">
            <c:ext xmlns:c16="http://schemas.microsoft.com/office/drawing/2014/chart" uri="{C3380CC4-5D6E-409C-BE32-E72D297353CC}">
              <c16:uniqueId val="{00000000-41DA-4660-9826-A3BA88C0F736}"/>
            </c:ext>
          </c:extLst>
        </c:ser>
        <c:ser>
          <c:idx val="1"/>
          <c:order val="1"/>
          <c:tx>
            <c:strRef>
              <c:f>Sheet1!$C$1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41DA-4660-9826-A3BA88C0F736}"/>
            </c:ext>
          </c:extLst>
        </c:ser>
        <c:ser>
          <c:idx val="2"/>
          <c:order val="2"/>
          <c:tx>
            <c:strRef>
              <c:f>Sheet1!$D$1</c:f>
              <c:strCache>
                <c:ptCount val="1"/>
                <c:pt idx="0">
                  <c:v>Column3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41DA-4660-9826-A3BA88C0F736}"/>
            </c:ext>
          </c:extLst>
        </c:ser>
        <c:ser>
          <c:idx val="3"/>
          <c:order val="3"/>
          <c:tx>
            <c:strRef>
              <c:f>Sheet1!$E$1</c:f>
              <c:strCache>
                <c:ptCount val="1"/>
                <c:pt idx="0">
                  <c:v>Column4</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Sheet1!$E$2:$E$21</c:f>
              <c:numCache>
                <c:formatCode>General</c:formatCode>
                <c:ptCount val="20"/>
              </c:numCache>
            </c:numRef>
          </c:val>
          <c:extLst xmlns:c16r2="http://schemas.microsoft.com/office/drawing/2015/06/chart">
            <c:ext xmlns:c16="http://schemas.microsoft.com/office/drawing/2014/chart" uri="{C3380CC4-5D6E-409C-BE32-E72D297353CC}">
              <c16:uniqueId val="{00000003-41DA-4660-9826-A3BA88C0F736}"/>
            </c:ext>
          </c:extLst>
        </c:ser>
        <c:ser>
          <c:idx val="4"/>
          <c:order val="4"/>
          <c:tx>
            <c:strRef>
              <c:f>Sheet1!$F$1</c:f>
              <c:strCache>
                <c:ptCount val="1"/>
                <c:pt idx="0">
                  <c:v>Column5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Sheet1!$F$2:$F$21</c:f>
              <c:numCache>
                <c:formatCode>General</c:formatCode>
                <c:ptCount val="20"/>
              </c:numCache>
            </c:numRef>
          </c:val>
          <c:extLst xmlns:c16r2="http://schemas.microsoft.com/office/drawing/2015/06/chart">
            <c:ext xmlns:c16="http://schemas.microsoft.com/office/drawing/2014/chart" uri="{C3380CC4-5D6E-409C-BE32-E72D297353CC}">
              <c16:uniqueId val="{00000004-41DA-4660-9826-A3BA88C0F736}"/>
            </c:ext>
          </c:extLst>
        </c:ser>
        <c:ser>
          <c:idx val="5"/>
          <c:order val="5"/>
          <c:tx>
            <c:strRef>
              <c:f>Sheet1!$G$1</c:f>
              <c:strCache>
                <c:ptCount val="1"/>
                <c:pt idx="0">
                  <c:v>2016</c:v>
                </c:pt>
              </c:strCache>
            </c:strRef>
          </c:tx>
          <c:invertIfNegative val="0"/>
          <c:dLbls>
            <c:dLbl>
              <c:idx val="0"/>
              <c:layout>
                <c:manualLayout>
                  <c:x val="4.0747028572647934E-2"/>
                  <c:y val="-2.705314009661835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2.5447453214689626E-2"/>
                  <c:y val="-1.54589371980676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9928728421142478E-2"/>
                  <c:y val="-3.86473429951690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3.5001258988967845E-2"/>
                  <c:y val="-1.54589371980676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183663017732539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1.3798006956447516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3.4258156754795894E-3"/>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6.9835563237522144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5.6950686042293495E-2"/>
                  <c:y val="-3.09178743961352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8.8480891108123679E-3"/>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4.693510872116595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4.6039903548641785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5.0130806819879224E-3"/>
                  <c:y val="-1.932367149758452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2.0974500138702175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3.9078505430723595E-2"/>
                  <c:y val="-4.2512077294686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Sheet1!$G$2:$G$21</c:f>
              <c:numCache>
                <c:formatCode>General</c:formatCode>
                <c:ptCount val="20"/>
                <c:pt idx="0">
                  <c:v>8.51</c:v>
                </c:pt>
                <c:pt idx="1">
                  <c:v>0</c:v>
                </c:pt>
                <c:pt idx="2">
                  <c:v>7.99</c:v>
                </c:pt>
                <c:pt idx="3">
                  <c:v>6.2</c:v>
                </c:pt>
                <c:pt idx="4">
                  <c:v>0</c:v>
                </c:pt>
                <c:pt idx="5">
                  <c:v>7.84</c:v>
                </c:pt>
                <c:pt idx="6">
                  <c:v>8.31</c:v>
                </c:pt>
                <c:pt idx="7">
                  <c:v>0</c:v>
                </c:pt>
                <c:pt idx="8">
                  <c:v>0</c:v>
                </c:pt>
                <c:pt idx="9">
                  <c:v>7.39</c:v>
                </c:pt>
                <c:pt idx="10">
                  <c:v>6.14</c:v>
                </c:pt>
                <c:pt idx="11">
                  <c:v>0.02</c:v>
                </c:pt>
                <c:pt idx="12">
                  <c:v>12.81</c:v>
                </c:pt>
                <c:pt idx="13">
                  <c:v>6.56</c:v>
                </c:pt>
                <c:pt idx="14">
                  <c:v>9.99</c:v>
                </c:pt>
                <c:pt idx="15">
                  <c:v>9.3800000000000008</c:v>
                </c:pt>
                <c:pt idx="16">
                  <c:v>5.86</c:v>
                </c:pt>
                <c:pt idx="17">
                  <c:v>6.71</c:v>
                </c:pt>
                <c:pt idx="18">
                  <c:v>11.99</c:v>
                </c:pt>
              </c:numCache>
            </c:numRef>
          </c:val>
          <c:extLst xmlns:c16r2="http://schemas.microsoft.com/office/drawing/2015/06/chart">
            <c:ext xmlns:c16="http://schemas.microsoft.com/office/drawing/2014/chart" uri="{C3380CC4-5D6E-409C-BE32-E72D297353CC}">
              <c16:uniqueId val="{00000005-41DA-4660-9826-A3BA88C0F736}"/>
            </c:ext>
          </c:extLst>
        </c:ser>
        <c:ser>
          <c:idx val="6"/>
          <c:order val="6"/>
          <c:tx>
            <c:strRef>
              <c:f>Sheet1!$H$1</c:f>
              <c:strCache>
                <c:ptCount val="1"/>
                <c:pt idx="0">
                  <c:v>Column6</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Sheet1!$H$2:$H$21</c:f>
              <c:numCache>
                <c:formatCode>General</c:formatCode>
                <c:ptCount val="20"/>
              </c:numCache>
            </c:numRef>
          </c:val>
          <c:extLst xmlns:c16r2="http://schemas.microsoft.com/office/drawing/2015/06/chart">
            <c:ext xmlns:c16="http://schemas.microsoft.com/office/drawing/2014/chart" uri="{C3380CC4-5D6E-409C-BE32-E72D297353CC}">
              <c16:uniqueId val="{00000006-41DA-4660-9826-A3BA88C0F736}"/>
            </c:ext>
          </c:extLst>
        </c:ser>
        <c:ser>
          <c:idx val="7"/>
          <c:order val="7"/>
          <c:tx>
            <c:strRef>
              <c:f>Sheet1!$I$1</c:f>
              <c:strCache>
                <c:ptCount val="1"/>
                <c:pt idx="0">
                  <c:v>Column7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Sheet1!$I$2:$I$21</c:f>
              <c:numCache>
                <c:formatCode>General</c:formatCode>
                <c:ptCount val="20"/>
              </c:numCache>
            </c:numRef>
          </c:val>
          <c:extLst xmlns:c16r2="http://schemas.microsoft.com/office/drawing/2015/06/chart">
            <c:ext xmlns:c16="http://schemas.microsoft.com/office/drawing/2014/chart" uri="{C3380CC4-5D6E-409C-BE32-E72D297353CC}">
              <c16:uniqueId val="{00000007-41DA-4660-9826-A3BA88C0F736}"/>
            </c:ext>
          </c:extLst>
        </c:ser>
        <c:ser>
          <c:idx val="8"/>
          <c:order val="8"/>
          <c:tx>
            <c:strRef>
              <c:f>Sheet1!$J$1</c:f>
              <c:strCache>
                <c:ptCount val="1"/>
                <c:pt idx="0">
                  <c:v>Column8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Sheet1!$J$2:$J$21</c:f>
              <c:numCache>
                <c:formatCode>General</c:formatCode>
                <c:ptCount val="20"/>
              </c:numCache>
            </c:numRef>
          </c:val>
          <c:extLst xmlns:c16r2="http://schemas.microsoft.com/office/drawing/2015/06/chart">
            <c:ext xmlns:c16="http://schemas.microsoft.com/office/drawing/2014/chart" uri="{C3380CC4-5D6E-409C-BE32-E72D297353CC}">
              <c16:uniqueId val="{00000008-41DA-4660-9826-A3BA88C0F736}"/>
            </c:ext>
          </c:extLst>
        </c:ser>
        <c:ser>
          <c:idx val="9"/>
          <c:order val="9"/>
          <c:tx>
            <c:strRef>
              <c:f>Sheet1!$K$1</c:f>
              <c:strCache>
                <c:ptCount val="1"/>
                <c:pt idx="0">
                  <c:v>2020</c:v>
                </c:pt>
              </c:strCache>
            </c:strRef>
          </c:tx>
          <c:invertIfNegative val="0"/>
          <c:dLbls>
            <c:dLbl>
              <c:idx val="0"/>
              <c:layout>
                <c:manualLayout>
                  <c:x val="2.2936474404114119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3.4376971171286519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5424364637347161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3.2435823570834132E-2"/>
                  <c:y val="-3.47826086956522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9896336128715617E-2"/>
                  <c:y val="-2.705314009661835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2.1194204382988711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1160531762797942E-2"/>
                  <c:y val="-3.478260869565217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0399889038260462E-2"/>
                  <c:y val="-1.54589371980676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4.92702558521649E-2"/>
                  <c:y val="-2.70531400966183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7.0804344578878853E-2"/>
                  <c:y val="-3.478260869565217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2.8596547382796662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1.6992168661844099E-2"/>
                  <c:y val="-1.54589371980676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1.6123935727546251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4.1795702366472481E-2"/>
                  <c:y val="-5.024154589371981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Sheet1!$K$2:$K$21</c:f>
              <c:numCache>
                <c:formatCode>General</c:formatCode>
                <c:ptCount val="20"/>
                <c:pt idx="0">
                  <c:v>7.95</c:v>
                </c:pt>
                <c:pt idx="1">
                  <c:v>0</c:v>
                </c:pt>
                <c:pt idx="2">
                  <c:v>8.02</c:v>
                </c:pt>
                <c:pt idx="3">
                  <c:v>5.81</c:v>
                </c:pt>
                <c:pt idx="4">
                  <c:v>0</c:v>
                </c:pt>
                <c:pt idx="5">
                  <c:v>6.9</c:v>
                </c:pt>
                <c:pt idx="6">
                  <c:v>0</c:v>
                </c:pt>
                <c:pt idx="7">
                  <c:v>9.52</c:v>
                </c:pt>
                <c:pt idx="8">
                  <c:v>0</c:v>
                </c:pt>
                <c:pt idx="9">
                  <c:v>6.23</c:v>
                </c:pt>
                <c:pt idx="10">
                  <c:v>5.0599999999999996</c:v>
                </c:pt>
                <c:pt idx="11">
                  <c:v>7.0000000000000007E-2</c:v>
                </c:pt>
                <c:pt idx="12">
                  <c:v>12.42</c:v>
                </c:pt>
                <c:pt idx="13">
                  <c:v>0</c:v>
                </c:pt>
                <c:pt idx="14">
                  <c:v>7.97</c:v>
                </c:pt>
                <c:pt idx="15">
                  <c:v>8.61</c:v>
                </c:pt>
                <c:pt idx="16">
                  <c:v>5.74</c:v>
                </c:pt>
                <c:pt idx="17">
                  <c:v>6.65</c:v>
                </c:pt>
                <c:pt idx="18">
                  <c:v>10.79</c:v>
                </c:pt>
              </c:numCache>
            </c:numRef>
          </c:val>
          <c:extLst xmlns:c16r2="http://schemas.microsoft.com/office/drawing/2015/06/chart">
            <c:ext xmlns:c16="http://schemas.microsoft.com/office/drawing/2014/chart" uri="{C3380CC4-5D6E-409C-BE32-E72D297353CC}">
              <c16:uniqueId val="{00000009-41DA-4660-9826-A3BA88C0F736}"/>
            </c:ext>
          </c:extLst>
        </c:ser>
        <c:ser>
          <c:idx val="10"/>
          <c:order val="10"/>
          <c:tx>
            <c:strRef>
              <c:f>Sheet1!$L$1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Sheet1!$L$2:$L$21</c:f>
              <c:numCache>
                <c:formatCode>General</c:formatCode>
                <c:ptCount val="20"/>
              </c:numCache>
            </c:numRef>
          </c:val>
        </c:ser>
        <c:dLbls>
          <c:dLblPos val="inEnd"/>
          <c:showLegendKey val="0"/>
          <c:showVal val="1"/>
          <c:showCatName val="0"/>
          <c:showSerName val="0"/>
          <c:showPercent val="0"/>
          <c:showBubbleSize val="0"/>
        </c:dLbls>
        <c:gapWidth val="150"/>
        <c:overlap val="100"/>
        <c:axId val="-805891200"/>
        <c:axId val="-805884672"/>
      </c:barChart>
      <c:catAx>
        <c:axId val="-805891200"/>
        <c:scaling>
          <c:orientation val="minMax"/>
        </c:scaling>
        <c:delete val="0"/>
        <c:axPos val="l"/>
        <c:numFmt formatCode="General" sourceLinked="0"/>
        <c:majorTickMark val="out"/>
        <c:minorTickMark val="none"/>
        <c:tickLblPos val="nextTo"/>
        <c:txPr>
          <a:bodyPr rot="0" vert="horz"/>
          <a:lstStyle/>
          <a:p>
            <a:pPr>
              <a:defRPr sz="800" baseline="0">
                <a:latin typeface="Times New Roman" panose="02020603050405020304" pitchFamily="18" charset="0"/>
                <a:cs typeface="Times New Roman" panose="02020603050405020304" pitchFamily="18" charset="0"/>
              </a:defRPr>
            </a:pPr>
            <a:endParaRPr lang="en-US"/>
          </a:p>
        </c:txPr>
        <c:crossAx val="-805884672"/>
        <c:crosses val="autoZero"/>
        <c:auto val="1"/>
        <c:lblAlgn val="ctr"/>
        <c:lblOffset val="100"/>
        <c:noMultiLvlLbl val="0"/>
      </c:catAx>
      <c:valAx>
        <c:axId val="-805884672"/>
        <c:scaling>
          <c:orientation val="minMax"/>
        </c:scaling>
        <c:delete val="0"/>
        <c:axPos val="b"/>
        <c:majorGridlines/>
        <c:numFmt formatCode="General" sourceLinked="1"/>
        <c:majorTickMark val="out"/>
        <c:minorTickMark val="none"/>
        <c:tickLblPos val="nextTo"/>
        <c:txPr>
          <a:bodyPr/>
          <a:lstStyle/>
          <a:p>
            <a:pPr>
              <a:defRPr sz="900"/>
            </a:pPr>
            <a:endParaRPr lang="en-US"/>
          </a:p>
        </c:txPr>
        <c:crossAx val="-805891200"/>
        <c:crosses val="autoZero"/>
        <c:crossBetween val="between"/>
      </c:valAx>
    </c:plotArea>
    <c:legend>
      <c:legendPos val="r"/>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10"/>
        <c:delete val="1"/>
      </c:legendEntry>
      <c:layout>
        <c:manualLayout>
          <c:xMode val="edge"/>
          <c:yMode val="edge"/>
          <c:x val="0.89117862706186113"/>
          <c:y val="0.32805168584696143"/>
          <c:w val="7.3987068689584518E-2"/>
          <c:h val="0.2002981378069581"/>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9412309748201"/>
          <c:y val="1.9072388383181621E-2"/>
          <c:w val="0.78124847297313638"/>
          <c:h val="0.94392417462771638"/>
        </c:manualLayout>
      </c:layout>
      <c:barChart>
        <c:barDir val="bar"/>
        <c:grouping val="clustered"/>
        <c:varyColors val="0"/>
        <c:ser>
          <c:idx val="0"/>
          <c:order val="0"/>
          <c:tx>
            <c:strRef>
              <c:f>Sheet1!$B$1</c:f>
              <c:strCache>
                <c:ptCount val="1"/>
                <c:pt idx="0">
                  <c:v>Column2</c:v>
                </c:pt>
              </c:strCache>
            </c:strRef>
          </c:tx>
          <c:invertIfNegative val="0"/>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Sheet1!$B$2:$B$29</c:f>
              <c:numCache>
                <c:formatCode>General</c:formatCode>
                <c:ptCount val="28"/>
              </c:numCache>
            </c:numRef>
          </c:val>
        </c:ser>
        <c:ser>
          <c:idx val="1"/>
          <c:order val="1"/>
          <c:tx>
            <c:strRef>
              <c:f>Sheet1!$C$1</c:f>
              <c:strCache>
                <c:ptCount val="1"/>
                <c:pt idx="0">
                  <c:v>Column3</c:v>
                </c:pt>
              </c:strCache>
            </c:strRef>
          </c:tx>
          <c:invertIfNegative val="0"/>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Sheet1!$C$2:$C$29</c:f>
              <c:numCache>
                <c:formatCode>General</c:formatCode>
                <c:ptCount val="28"/>
              </c:numCache>
            </c:numRef>
          </c:val>
        </c:ser>
        <c:ser>
          <c:idx val="2"/>
          <c:order val="2"/>
          <c:tx>
            <c:strRef>
              <c:f>Sheet1!$D$1</c:f>
              <c:strCache>
                <c:ptCount val="1"/>
                <c:pt idx="0">
                  <c:v>2010</c:v>
                </c:pt>
              </c:strCache>
            </c:strRef>
          </c:tx>
          <c:invertIfNegative val="0"/>
          <c:trendline>
            <c:trendlineType val="exp"/>
            <c:dispRSqr val="0"/>
            <c:dispEq val="0"/>
          </c:trendline>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Sheet1!$D$2:$D$29</c:f>
              <c:numCache>
                <c:formatCode>General</c:formatCode>
                <c:ptCount val="28"/>
                <c:pt idx="0">
                  <c:v>13</c:v>
                </c:pt>
                <c:pt idx="1">
                  <c:v>27</c:v>
                </c:pt>
                <c:pt idx="2">
                  <c:v>26</c:v>
                </c:pt>
                <c:pt idx="3">
                  <c:v>11</c:v>
                </c:pt>
                <c:pt idx="4">
                  <c:v>12</c:v>
                </c:pt>
                <c:pt idx="5">
                  <c:v>10</c:v>
                </c:pt>
                <c:pt idx="6">
                  <c:v>13</c:v>
                </c:pt>
                <c:pt idx="7">
                  <c:v>8</c:v>
                </c:pt>
                <c:pt idx="8">
                  <c:v>7</c:v>
                </c:pt>
                <c:pt idx="9">
                  <c:v>8</c:v>
                </c:pt>
                <c:pt idx="10">
                  <c:v>9</c:v>
                </c:pt>
                <c:pt idx="11">
                  <c:v>9</c:v>
                </c:pt>
                <c:pt idx="12">
                  <c:v>8</c:v>
                </c:pt>
                <c:pt idx="13">
                  <c:v>9</c:v>
                </c:pt>
                <c:pt idx="14">
                  <c:v>8</c:v>
                </c:pt>
                <c:pt idx="15">
                  <c:v>6</c:v>
                </c:pt>
                <c:pt idx="16">
                  <c:v>5</c:v>
                </c:pt>
                <c:pt idx="17">
                  <c:v>6</c:v>
                </c:pt>
                <c:pt idx="18">
                  <c:v>4</c:v>
                </c:pt>
                <c:pt idx="19">
                  <c:v>6</c:v>
                </c:pt>
                <c:pt idx="20">
                  <c:v>6</c:v>
                </c:pt>
                <c:pt idx="21">
                  <c:v>3</c:v>
                </c:pt>
                <c:pt idx="22">
                  <c:v>4</c:v>
                </c:pt>
                <c:pt idx="23">
                  <c:v>4</c:v>
                </c:pt>
                <c:pt idx="24">
                  <c:v>4</c:v>
                </c:pt>
                <c:pt idx="25">
                  <c:v>2</c:v>
                </c:pt>
                <c:pt idx="26">
                  <c:v>3</c:v>
                </c:pt>
              </c:numCache>
            </c:numRef>
          </c:val>
        </c:ser>
        <c:ser>
          <c:idx val="3"/>
          <c:order val="3"/>
          <c:tx>
            <c:strRef>
              <c:f>Sheet1!$E$1</c:f>
              <c:strCache>
                <c:ptCount val="1"/>
                <c:pt idx="0">
                  <c:v>2015</c:v>
                </c:pt>
              </c:strCache>
            </c:strRef>
          </c:tx>
          <c:spPr>
            <a:solidFill>
              <a:srgbClr val="FF0000"/>
            </a:solidFill>
          </c:spPr>
          <c:invertIfNegative val="0"/>
          <c:trendline>
            <c:trendlineType val="exp"/>
            <c:dispRSqr val="0"/>
            <c:dispEq val="0"/>
          </c:trendline>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Sheet1!$E$2:$E$29</c:f>
              <c:numCache>
                <c:formatCode>General</c:formatCode>
                <c:ptCount val="28"/>
                <c:pt idx="0">
                  <c:v>10</c:v>
                </c:pt>
                <c:pt idx="1">
                  <c:v>21</c:v>
                </c:pt>
                <c:pt idx="2">
                  <c:v>23</c:v>
                </c:pt>
                <c:pt idx="3">
                  <c:v>10</c:v>
                </c:pt>
                <c:pt idx="4">
                  <c:v>10</c:v>
                </c:pt>
                <c:pt idx="5">
                  <c:v>9</c:v>
                </c:pt>
                <c:pt idx="6">
                  <c:v>12</c:v>
                </c:pt>
                <c:pt idx="7">
                  <c:v>7</c:v>
                </c:pt>
                <c:pt idx="8">
                  <c:v>6</c:v>
                </c:pt>
                <c:pt idx="9">
                  <c:v>7</c:v>
                </c:pt>
                <c:pt idx="10">
                  <c:v>8</c:v>
                </c:pt>
                <c:pt idx="11">
                  <c:v>8</c:v>
                </c:pt>
                <c:pt idx="12">
                  <c:v>5</c:v>
                </c:pt>
                <c:pt idx="13">
                  <c:v>9</c:v>
                </c:pt>
                <c:pt idx="14">
                  <c:v>7</c:v>
                </c:pt>
                <c:pt idx="15">
                  <c:v>5</c:v>
                </c:pt>
                <c:pt idx="16">
                  <c:v>4</c:v>
                </c:pt>
                <c:pt idx="17">
                  <c:v>6</c:v>
                </c:pt>
                <c:pt idx="18">
                  <c:v>4</c:v>
                </c:pt>
                <c:pt idx="19">
                  <c:v>5</c:v>
                </c:pt>
                <c:pt idx="20">
                  <c:v>6</c:v>
                </c:pt>
                <c:pt idx="21">
                  <c:v>2</c:v>
                </c:pt>
                <c:pt idx="22">
                  <c:v>3</c:v>
                </c:pt>
                <c:pt idx="23">
                  <c:v>4</c:v>
                </c:pt>
                <c:pt idx="24">
                  <c:v>4</c:v>
                </c:pt>
                <c:pt idx="25">
                  <c:v>2</c:v>
                </c:pt>
                <c:pt idx="26">
                  <c:v>3</c:v>
                </c:pt>
              </c:numCache>
            </c:numRef>
          </c:val>
        </c:ser>
        <c:ser>
          <c:idx val="4"/>
          <c:order val="4"/>
          <c:tx>
            <c:strRef>
              <c:f>Sheet1!$F$1</c:f>
              <c:strCache>
                <c:ptCount val="1"/>
                <c:pt idx="0">
                  <c:v>2017</c:v>
                </c:pt>
              </c:strCache>
            </c:strRef>
          </c:tx>
          <c:spPr>
            <a:ln w="76200"/>
          </c:spPr>
          <c:invertIfNegative val="0"/>
          <c:dPt>
            <c:idx val="26"/>
            <c:invertIfNegative val="0"/>
            <c:bubble3D val="0"/>
            <c:spPr>
              <a:ln w="76200">
                <a:prstDash val="solid"/>
              </a:ln>
            </c:spPr>
          </c:dPt>
          <c:trendline>
            <c:trendlineType val="exp"/>
            <c:dispRSqr val="0"/>
            <c:dispEq val="0"/>
          </c:trendline>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Sheet1!$F$2:$F$29</c:f>
              <c:numCache>
                <c:formatCode>General</c:formatCode>
                <c:ptCount val="28"/>
                <c:pt idx="0">
                  <c:v>10</c:v>
                </c:pt>
                <c:pt idx="1">
                  <c:v>19</c:v>
                </c:pt>
                <c:pt idx="2">
                  <c:v>19</c:v>
                </c:pt>
                <c:pt idx="3">
                  <c:v>9</c:v>
                </c:pt>
                <c:pt idx="4">
                  <c:v>10</c:v>
                </c:pt>
                <c:pt idx="5">
                  <c:v>8</c:v>
                </c:pt>
                <c:pt idx="6">
                  <c:v>12</c:v>
                </c:pt>
                <c:pt idx="7">
                  <c:v>6</c:v>
                </c:pt>
                <c:pt idx="8">
                  <c:v>5</c:v>
                </c:pt>
                <c:pt idx="9">
                  <c:v>7</c:v>
                </c:pt>
                <c:pt idx="10">
                  <c:v>8</c:v>
                </c:pt>
                <c:pt idx="11">
                  <c:v>8</c:v>
                </c:pt>
                <c:pt idx="12">
                  <c:v>5</c:v>
                </c:pt>
                <c:pt idx="13">
                  <c:v>8</c:v>
                </c:pt>
                <c:pt idx="14">
                  <c:v>6</c:v>
                </c:pt>
                <c:pt idx="15">
                  <c:v>5</c:v>
                </c:pt>
                <c:pt idx="16">
                  <c:v>4</c:v>
                </c:pt>
                <c:pt idx="17">
                  <c:v>5</c:v>
                </c:pt>
                <c:pt idx="18">
                  <c:v>3</c:v>
                </c:pt>
                <c:pt idx="19">
                  <c:v>7</c:v>
                </c:pt>
                <c:pt idx="20">
                  <c:v>5</c:v>
                </c:pt>
                <c:pt idx="21">
                  <c:v>2</c:v>
                </c:pt>
                <c:pt idx="22">
                  <c:v>3</c:v>
                </c:pt>
                <c:pt idx="23">
                  <c:v>4</c:v>
                </c:pt>
                <c:pt idx="24">
                  <c:v>4</c:v>
                </c:pt>
                <c:pt idx="25">
                  <c:v>2</c:v>
                </c:pt>
                <c:pt idx="26">
                  <c:v>3</c:v>
                </c:pt>
              </c:numCache>
            </c:numRef>
          </c:val>
        </c:ser>
        <c:ser>
          <c:idx val="5"/>
          <c:order val="5"/>
          <c:tx>
            <c:strRef>
              <c:f>Sheet1!$G$1</c:f>
              <c:strCache>
                <c:ptCount val="1"/>
                <c:pt idx="0">
                  <c:v>Column1</c:v>
                </c:pt>
              </c:strCache>
            </c:strRef>
          </c:tx>
          <c:invertIfNegative val="0"/>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Sheet1!$G$2:$G$29</c:f>
              <c:numCache>
                <c:formatCode>General</c:formatCode>
                <c:ptCount val="28"/>
              </c:numCache>
            </c:numRef>
          </c:val>
        </c:ser>
        <c:dLbls>
          <c:showLegendKey val="0"/>
          <c:showVal val="0"/>
          <c:showCatName val="0"/>
          <c:showSerName val="0"/>
          <c:showPercent val="0"/>
          <c:showBubbleSize val="0"/>
        </c:dLbls>
        <c:gapWidth val="75"/>
        <c:axId val="-805884128"/>
        <c:axId val="-805880864"/>
      </c:barChart>
      <c:catAx>
        <c:axId val="-805884128"/>
        <c:scaling>
          <c:orientation val="minMax"/>
        </c:scaling>
        <c:delete val="0"/>
        <c:axPos val="l"/>
        <c:numFmt formatCode="General" sourceLinked="0"/>
        <c:majorTickMark val="none"/>
        <c:minorTickMark val="none"/>
        <c:tickLblPos val="nextTo"/>
        <c:txPr>
          <a:bodyPr rot="0" vert="horz"/>
          <a:lstStyle/>
          <a:p>
            <a:pPr>
              <a:defRPr sz="800"/>
            </a:pPr>
            <a:endParaRPr lang="en-US"/>
          </a:p>
        </c:txPr>
        <c:crossAx val="-805880864"/>
        <c:crosses val="autoZero"/>
        <c:auto val="1"/>
        <c:lblAlgn val="ctr"/>
        <c:lblOffset val="100"/>
        <c:noMultiLvlLbl val="0"/>
      </c:catAx>
      <c:valAx>
        <c:axId val="-805880864"/>
        <c:scaling>
          <c:orientation val="minMax"/>
        </c:scaling>
        <c:delete val="0"/>
        <c:axPos val="b"/>
        <c:majorGridlines/>
        <c:numFmt formatCode="General" sourceLinked="1"/>
        <c:majorTickMark val="none"/>
        <c:minorTickMark val="none"/>
        <c:tickLblPos val="nextTo"/>
        <c:txPr>
          <a:bodyPr/>
          <a:lstStyle/>
          <a:p>
            <a:pPr>
              <a:defRPr sz="800"/>
            </a:pPr>
            <a:endParaRPr lang="en-US"/>
          </a:p>
        </c:txPr>
        <c:crossAx val="-805884128"/>
        <c:crosses val="autoZero"/>
        <c:crossBetween val="between"/>
      </c:valAx>
    </c:plotArea>
    <c:legend>
      <c:legendPos val="r"/>
      <c:legendEntry>
        <c:idx val="0"/>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92636757957997862"/>
          <c:y val="0.4338979279085563"/>
          <c:w val="6.3997253507868473E-2"/>
          <c:h val="0.18713582677165355"/>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Europa</c:v>
                </c:pt>
              </c:strCache>
            </c:strRef>
          </c:tx>
          <c:invertIfNegative val="0"/>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dLbl>
              <c:idx val="10"/>
              <c:layout>
                <c:manualLayout>
                  <c:x val="-6.9444444444444441E-3"/>
                  <c:y val="1.47329650092081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2000</c:v>
                </c:pt>
                <c:pt idx="2">
                  <c:v>2005</c:v>
                </c:pt>
                <c:pt idx="4">
                  <c:v>2010</c:v>
                </c:pt>
                <c:pt idx="6">
                  <c:v>2015</c:v>
                </c:pt>
                <c:pt idx="8">
                  <c:v>2017</c:v>
                </c:pt>
                <c:pt idx="10">
                  <c:v>2019</c:v>
                </c:pt>
              </c:numCache>
            </c:numRef>
          </c:cat>
          <c:val>
            <c:numRef>
              <c:f>Sheet1!$B$2:$B$12</c:f>
              <c:numCache>
                <c:formatCode>General</c:formatCode>
                <c:ptCount val="11"/>
                <c:pt idx="0">
                  <c:v>20</c:v>
                </c:pt>
                <c:pt idx="2">
                  <c:v>17</c:v>
                </c:pt>
                <c:pt idx="4">
                  <c:v>13</c:v>
                </c:pt>
                <c:pt idx="6">
                  <c:v>10</c:v>
                </c:pt>
                <c:pt idx="8">
                  <c:v>10</c:v>
                </c:pt>
                <c:pt idx="10">
                  <c:v>8</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România</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2000</c:v>
                </c:pt>
                <c:pt idx="2">
                  <c:v>2005</c:v>
                </c:pt>
                <c:pt idx="4">
                  <c:v>2010</c:v>
                </c:pt>
                <c:pt idx="6">
                  <c:v>2015</c:v>
                </c:pt>
                <c:pt idx="8">
                  <c:v>2017</c:v>
                </c:pt>
                <c:pt idx="10">
                  <c:v>2019</c:v>
                </c:pt>
              </c:numCache>
            </c:numRef>
          </c:cat>
          <c:val>
            <c:numRef>
              <c:f>Sheet1!$C$2:$C$12</c:f>
              <c:numCache>
                <c:formatCode>General</c:formatCode>
                <c:ptCount val="11"/>
                <c:pt idx="0">
                  <c:v>54</c:v>
                </c:pt>
                <c:pt idx="2">
                  <c:v>35</c:v>
                </c:pt>
                <c:pt idx="4">
                  <c:v>27</c:v>
                </c:pt>
                <c:pt idx="6">
                  <c:v>21</c:v>
                </c:pt>
                <c:pt idx="8">
                  <c:v>19</c:v>
                </c:pt>
                <c:pt idx="10">
                  <c:v>10.6</c:v>
                </c:pt>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2000</c:v>
                </c:pt>
                <c:pt idx="2">
                  <c:v>2005</c:v>
                </c:pt>
                <c:pt idx="4">
                  <c:v>2010</c:v>
                </c:pt>
                <c:pt idx="6">
                  <c:v>2015</c:v>
                </c:pt>
                <c:pt idx="8">
                  <c:v>2017</c:v>
                </c:pt>
                <c:pt idx="10">
                  <c:v>2019</c:v>
                </c:pt>
              </c:numCache>
            </c:num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805878688"/>
        <c:axId val="-805877600"/>
      </c:barChart>
      <c:catAx>
        <c:axId val="-805878688"/>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877600"/>
        <c:crosses val="autoZero"/>
        <c:auto val="1"/>
        <c:lblAlgn val="ctr"/>
        <c:lblOffset val="100"/>
        <c:noMultiLvlLbl val="0"/>
      </c:catAx>
      <c:valAx>
        <c:axId val="-805877600"/>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878688"/>
        <c:crosses val="autoZero"/>
        <c:crossBetween val="between"/>
      </c:valAx>
    </c:plotArea>
    <c:legend>
      <c:legendPos val="b"/>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Sheet1!$A$2:$A$43</c:f>
              <c:strCache>
                <c:ptCount val="42"/>
                <c:pt idx="0">
                  <c:v>Suceava</c:v>
                </c:pt>
                <c:pt idx="1">
                  <c:v>Ilfov</c:v>
                </c:pt>
                <c:pt idx="2">
                  <c:v>Sălaj</c:v>
                </c:pt>
                <c:pt idx="3">
                  <c:v>Iași</c:v>
                </c:pt>
                <c:pt idx="4">
                  <c:v>Bistrița-Năsăud</c:v>
                </c:pt>
                <c:pt idx="5">
                  <c:v>Bihor</c:v>
                </c:pt>
                <c:pt idx="6">
                  <c:v>Cluj</c:v>
                </c:pt>
                <c:pt idx="7">
                  <c:v>Brașov</c:v>
                </c:pt>
                <c:pt idx="8">
                  <c:v>Covasna</c:v>
                </c:pt>
                <c:pt idx="9">
                  <c:v>Harghita</c:v>
                </c:pt>
                <c:pt idx="10">
                  <c:v>București</c:v>
                </c:pt>
                <c:pt idx="11">
                  <c:v>Mureș</c:v>
                </c:pt>
                <c:pt idx="12">
                  <c:v>Timiș</c:v>
                </c:pt>
                <c:pt idx="13">
                  <c:v>Vaslui</c:v>
                </c:pt>
                <c:pt idx="14">
                  <c:v>Călărași</c:v>
                </c:pt>
                <c:pt idx="15">
                  <c:v>Dâmbovița</c:v>
                </c:pt>
                <c:pt idx="16">
                  <c:v>Giurgiu</c:v>
                </c:pt>
                <c:pt idx="17">
                  <c:v>Sibiu</c:v>
                </c:pt>
                <c:pt idx="18">
                  <c:v>Maramureș</c:v>
                </c:pt>
                <c:pt idx="19">
                  <c:v>Botoșani</c:v>
                </c:pt>
                <c:pt idx="20">
                  <c:v>Ialomița</c:v>
                </c:pt>
                <c:pt idx="21">
                  <c:v>Constanța</c:v>
                </c:pt>
                <c:pt idx="22">
                  <c:v>Arad</c:v>
                </c:pt>
                <c:pt idx="23">
                  <c:v>Bacău</c:v>
                </c:pt>
                <c:pt idx="24">
                  <c:v>Dolj</c:v>
                </c:pt>
                <c:pt idx="25">
                  <c:v>Vrancea</c:v>
                </c:pt>
                <c:pt idx="26">
                  <c:v>Argeș</c:v>
                </c:pt>
                <c:pt idx="27">
                  <c:v>Satu Mare</c:v>
                </c:pt>
                <c:pt idx="28">
                  <c:v>Galați</c:v>
                </c:pt>
                <c:pt idx="29">
                  <c:v>Prahova</c:v>
                </c:pt>
                <c:pt idx="30">
                  <c:v>Alba</c:v>
                </c:pt>
                <c:pt idx="31">
                  <c:v>Buzău</c:v>
                </c:pt>
                <c:pt idx="32">
                  <c:v>Gorj</c:v>
                </c:pt>
                <c:pt idx="33">
                  <c:v>Tulcea</c:v>
                </c:pt>
                <c:pt idx="34">
                  <c:v>Mehedinți</c:v>
                </c:pt>
                <c:pt idx="35">
                  <c:v>Neamț</c:v>
                </c:pt>
                <c:pt idx="36">
                  <c:v>Olt</c:v>
                </c:pt>
                <c:pt idx="37">
                  <c:v>Hunedoara</c:v>
                </c:pt>
                <c:pt idx="38">
                  <c:v>Brăila</c:v>
                </c:pt>
                <c:pt idx="39">
                  <c:v>Vâlcea</c:v>
                </c:pt>
                <c:pt idx="40">
                  <c:v>Teleorman</c:v>
                </c:pt>
                <c:pt idx="41">
                  <c:v>Caraș-Severin</c:v>
                </c:pt>
              </c:strCache>
            </c:strRef>
          </c:cat>
          <c:val>
            <c:numRef>
              <c:f>Sheet1!$B$2:$B$43</c:f>
              <c:numCache>
                <c:formatCode>General</c:formatCode>
                <c:ptCount val="42"/>
                <c:pt idx="0">
                  <c:v>10.6</c:v>
                </c:pt>
                <c:pt idx="1">
                  <c:v>10.3</c:v>
                </c:pt>
                <c:pt idx="2">
                  <c:v>9.6</c:v>
                </c:pt>
                <c:pt idx="3">
                  <c:v>9.4</c:v>
                </c:pt>
                <c:pt idx="4">
                  <c:v>9.3000000000000007</c:v>
                </c:pt>
                <c:pt idx="5">
                  <c:v>9.1999999999999993</c:v>
                </c:pt>
                <c:pt idx="6">
                  <c:v>9.1999999999999993</c:v>
                </c:pt>
                <c:pt idx="7">
                  <c:v>9</c:v>
                </c:pt>
                <c:pt idx="8">
                  <c:v>9</c:v>
                </c:pt>
                <c:pt idx="9">
                  <c:v>8.9</c:v>
                </c:pt>
                <c:pt idx="10">
                  <c:v>8.8000000000000007</c:v>
                </c:pt>
                <c:pt idx="11">
                  <c:v>8.8000000000000007</c:v>
                </c:pt>
                <c:pt idx="12">
                  <c:v>8.8000000000000007</c:v>
                </c:pt>
                <c:pt idx="13">
                  <c:v>8.4</c:v>
                </c:pt>
                <c:pt idx="14">
                  <c:v>8.3000000000000007</c:v>
                </c:pt>
                <c:pt idx="15">
                  <c:v>8.3000000000000007</c:v>
                </c:pt>
                <c:pt idx="16">
                  <c:v>8.3000000000000007</c:v>
                </c:pt>
                <c:pt idx="17">
                  <c:v>8.3000000000000007</c:v>
                </c:pt>
                <c:pt idx="18">
                  <c:v>8.1999999999999993</c:v>
                </c:pt>
                <c:pt idx="19">
                  <c:v>8.1</c:v>
                </c:pt>
                <c:pt idx="20">
                  <c:v>8.1</c:v>
                </c:pt>
                <c:pt idx="21">
                  <c:v>8</c:v>
                </c:pt>
                <c:pt idx="22">
                  <c:v>7.8</c:v>
                </c:pt>
                <c:pt idx="23">
                  <c:v>7.7</c:v>
                </c:pt>
                <c:pt idx="24">
                  <c:v>7.7</c:v>
                </c:pt>
                <c:pt idx="25">
                  <c:v>7.6</c:v>
                </c:pt>
                <c:pt idx="26">
                  <c:v>7.5</c:v>
                </c:pt>
                <c:pt idx="27">
                  <c:v>7.5</c:v>
                </c:pt>
                <c:pt idx="28">
                  <c:v>7.3</c:v>
                </c:pt>
                <c:pt idx="29">
                  <c:v>7.3</c:v>
                </c:pt>
                <c:pt idx="30">
                  <c:v>7.2</c:v>
                </c:pt>
                <c:pt idx="31">
                  <c:v>7.1</c:v>
                </c:pt>
                <c:pt idx="32">
                  <c:v>7</c:v>
                </c:pt>
                <c:pt idx="33">
                  <c:v>7</c:v>
                </c:pt>
                <c:pt idx="34">
                  <c:v>6.9</c:v>
                </c:pt>
                <c:pt idx="35">
                  <c:v>6.9</c:v>
                </c:pt>
                <c:pt idx="36">
                  <c:v>6.9</c:v>
                </c:pt>
                <c:pt idx="37">
                  <c:v>6.5</c:v>
                </c:pt>
                <c:pt idx="38">
                  <c:v>6.4</c:v>
                </c:pt>
                <c:pt idx="39">
                  <c:v>6.3</c:v>
                </c:pt>
                <c:pt idx="40">
                  <c:v>6.2</c:v>
                </c:pt>
                <c:pt idx="41">
                  <c:v>6.1</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Suceava</c:v>
                </c:pt>
                <c:pt idx="1">
                  <c:v>Ilfov</c:v>
                </c:pt>
                <c:pt idx="2">
                  <c:v>Sălaj</c:v>
                </c:pt>
                <c:pt idx="3">
                  <c:v>Iași</c:v>
                </c:pt>
                <c:pt idx="4">
                  <c:v>Bistrița-Năsăud</c:v>
                </c:pt>
                <c:pt idx="5">
                  <c:v>Bihor</c:v>
                </c:pt>
                <c:pt idx="6">
                  <c:v>Cluj</c:v>
                </c:pt>
                <c:pt idx="7">
                  <c:v>Brașov</c:v>
                </c:pt>
                <c:pt idx="8">
                  <c:v>Covasna</c:v>
                </c:pt>
                <c:pt idx="9">
                  <c:v>Harghita</c:v>
                </c:pt>
                <c:pt idx="10">
                  <c:v>București</c:v>
                </c:pt>
                <c:pt idx="11">
                  <c:v>Mureș</c:v>
                </c:pt>
                <c:pt idx="12">
                  <c:v>Timiș</c:v>
                </c:pt>
                <c:pt idx="13">
                  <c:v>Vaslui</c:v>
                </c:pt>
                <c:pt idx="14">
                  <c:v>Călărași</c:v>
                </c:pt>
                <c:pt idx="15">
                  <c:v>Dâmbovița</c:v>
                </c:pt>
                <c:pt idx="16">
                  <c:v>Giurgiu</c:v>
                </c:pt>
                <c:pt idx="17">
                  <c:v>Sibiu</c:v>
                </c:pt>
                <c:pt idx="18">
                  <c:v>Maramureș</c:v>
                </c:pt>
                <c:pt idx="19">
                  <c:v>Botoșani</c:v>
                </c:pt>
                <c:pt idx="20">
                  <c:v>Ialomița</c:v>
                </c:pt>
                <c:pt idx="21">
                  <c:v>Constanța</c:v>
                </c:pt>
                <c:pt idx="22">
                  <c:v>Arad</c:v>
                </c:pt>
                <c:pt idx="23">
                  <c:v>Bacău</c:v>
                </c:pt>
                <c:pt idx="24">
                  <c:v>Dolj</c:v>
                </c:pt>
                <c:pt idx="25">
                  <c:v>Vrancea</c:v>
                </c:pt>
                <c:pt idx="26">
                  <c:v>Argeș</c:v>
                </c:pt>
                <c:pt idx="27">
                  <c:v>Satu Mare</c:v>
                </c:pt>
                <c:pt idx="28">
                  <c:v>Galați</c:v>
                </c:pt>
                <c:pt idx="29">
                  <c:v>Prahova</c:v>
                </c:pt>
                <c:pt idx="30">
                  <c:v>Alba</c:v>
                </c:pt>
                <c:pt idx="31">
                  <c:v>Buzău</c:v>
                </c:pt>
                <c:pt idx="32">
                  <c:v>Gorj</c:v>
                </c:pt>
                <c:pt idx="33">
                  <c:v>Tulcea</c:v>
                </c:pt>
                <c:pt idx="34">
                  <c:v>Mehedinți</c:v>
                </c:pt>
                <c:pt idx="35">
                  <c:v>Neamț</c:v>
                </c:pt>
                <c:pt idx="36">
                  <c:v>Olt</c:v>
                </c:pt>
                <c:pt idx="37">
                  <c:v>Hunedoara</c:v>
                </c:pt>
                <c:pt idx="38">
                  <c:v>Brăila</c:v>
                </c:pt>
                <c:pt idx="39">
                  <c:v>Vâlcea</c:v>
                </c:pt>
                <c:pt idx="40">
                  <c:v>Teleorman</c:v>
                </c:pt>
                <c:pt idx="41">
                  <c:v>Caraș-Severin</c:v>
                </c:pt>
              </c:strCache>
            </c:strRef>
          </c:cat>
          <c:val>
            <c:numRef>
              <c:f>Sheet1!$C$2:$C$43</c:f>
              <c:numCache>
                <c:formatCode>General</c:formatCode>
                <c:ptCount val="42"/>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Suceava</c:v>
                </c:pt>
                <c:pt idx="1">
                  <c:v>Ilfov</c:v>
                </c:pt>
                <c:pt idx="2">
                  <c:v>Sălaj</c:v>
                </c:pt>
                <c:pt idx="3">
                  <c:v>Iași</c:v>
                </c:pt>
                <c:pt idx="4">
                  <c:v>Bistrița-Năsăud</c:v>
                </c:pt>
                <c:pt idx="5">
                  <c:v>Bihor</c:v>
                </c:pt>
                <c:pt idx="6">
                  <c:v>Cluj</c:v>
                </c:pt>
                <c:pt idx="7">
                  <c:v>Brașov</c:v>
                </c:pt>
                <c:pt idx="8">
                  <c:v>Covasna</c:v>
                </c:pt>
                <c:pt idx="9">
                  <c:v>Harghita</c:v>
                </c:pt>
                <c:pt idx="10">
                  <c:v>București</c:v>
                </c:pt>
                <c:pt idx="11">
                  <c:v>Mureș</c:v>
                </c:pt>
                <c:pt idx="12">
                  <c:v>Timiș</c:v>
                </c:pt>
                <c:pt idx="13">
                  <c:v>Vaslui</c:v>
                </c:pt>
                <c:pt idx="14">
                  <c:v>Călărași</c:v>
                </c:pt>
                <c:pt idx="15">
                  <c:v>Dâmbovița</c:v>
                </c:pt>
                <c:pt idx="16">
                  <c:v>Giurgiu</c:v>
                </c:pt>
                <c:pt idx="17">
                  <c:v>Sibiu</c:v>
                </c:pt>
                <c:pt idx="18">
                  <c:v>Maramureș</c:v>
                </c:pt>
                <c:pt idx="19">
                  <c:v>Botoșani</c:v>
                </c:pt>
                <c:pt idx="20">
                  <c:v>Ialomița</c:v>
                </c:pt>
                <c:pt idx="21">
                  <c:v>Constanța</c:v>
                </c:pt>
                <c:pt idx="22">
                  <c:v>Arad</c:v>
                </c:pt>
                <c:pt idx="23">
                  <c:v>Bacău</c:v>
                </c:pt>
                <c:pt idx="24">
                  <c:v>Dolj</c:v>
                </c:pt>
                <c:pt idx="25">
                  <c:v>Vrancea</c:v>
                </c:pt>
                <c:pt idx="26">
                  <c:v>Argeș</c:v>
                </c:pt>
                <c:pt idx="27">
                  <c:v>Satu Mare</c:v>
                </c:pt>
                <c:pt idx="28">
                  <c:v>Galați</c:v>
                </c:pt>
                <c:pt idx="29">
                  <c:v>Prahova</c:v>
                </c:pt>
                <c:pt idx="30">
                  <c:v>Alba</c:v>
                </c:pt>
                <c:pt idx="31">
                  <c:v>Buzău</c:v>
                </c:pt>
                <c:pt idx="32">
                  <c:v>Gorj</c:v>
                </c:pt>
                <c:pt idx="33">
                  <c:v>Tulcea</c:v>
                </c:pt>
                <c:pt idx="34">
                  <c:v>Mehedinți</c:v>
                </c:pt>
                <c:pt idx="35">
                  <c:v>Neamț</c:v>
                </c:pt>
                <c:pt idx="36">
                  <c:v>Olt</c:v>
                </c:pt>
                <c:pt idx="37">
                  <c:v>Hunedoara</c:v>
                </c:pt>
                <c:pt idx="38">
                  <c:v>Brăila</c:v>
                </c:pt>
                <c:pt idx="39">
                  <c:v>Vâlcea</c:v>
                </c:pt>
                <c:pt idx="40">
                  <c:v>Teleorman</c:v>
                </c:pt>
                <c:pt idx="41">
                  <c:v>Caraș-Severin</c:v>
                </c:pt>
              </c:strCache>
            </c:strRef>
          </c:cat>
          <c:val>
            <c:numRef>
              <c:f>Sheet1!$D$2:$D$43</c:f>
              <c:numCache>
                <c:formatCode>General</c:formatCode>
                <c:ptCount val="42"/>
              </c:numCache>
            </c:numRef>
          </c:val>
        </c:ser>
        <c:dLbls>
          <c:dLblPos val="outEnd"/>
          <c:showLegendKey val="0"/>
          <c:showVal val="1"/>
          <c:showCatName val="0"/>
          <c:showSerName val="0"/>
          <c:showPercent val="0"/>
          <c:showBubbleSize val="0"/>
        </c:dLbls>
        <c:gapWidth val="0"/>
        <c:axId val="-805890656"/>
        <c:axId val="-805877056"/>
      </c:barChart>
      <c:catAx>
        <c:axId val="-805890656"/>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05877056"/>
        <c:crosses val="autoZero"/>
        <c:auto val="1"/>
        <c:lblAlgn val="ctr"/>
        <c:lblOffset val="100"/>
        <c:noMultiLvlLbl val="0"/>
      </c:catAx>
      <c:valAx>
        <c:axId val="-805877056"/>
        <c:scaling>
          <c:orientation val="minMax"/>
        </c:scaling>
        <c:delete val="0"/>
        <c:axPos val="l"/>
        <c:numFmt formatCode="General" sourceLinked="1"/>
        <c:majorTickMark val="out"/>
        <c:minorTickMark val="none"/>
        <c:tickLblPos val="nextTo"/>
        <c:txPr>
          <a:bodyPr/>
          <a:lstStyle/>
          <a:p>
            <a:pPr>
              <a:defRPr sz="500"/>
            </a:pPr>
            <a:endParaRPr lang="en-US"/>
          </a:p>
        </c:txPr>
        <c:crossAx val="-805890656"/>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0.39988</cdr:x>
      <cdr:y>0.80198</cdr:y>
    </cdr:from>
    <cdr:to>
      <cdr:x>0.47801</cdr:x>
      <cdr:y>0.84901</cdr:y>
    </cdr:to>
    <cdr:sp macro="" textlink="">
      <cdr:nvSpPr>
        <cdr:cNvPr id="2" name="Text Box 2"/>
        <cdr:cNvSpPr txBox="1">
          <a:spLocks xmlns:a="http://schemas.openxmlformats.org/drawingml/2006/main" noChangeArrowheads="1"/>
        </cdr:cNvSpPr>
      </cdr:nvSpPr>
      <cdr:spPr bwMode="auto">
        <a:xfrm xmlns:a="http://schemas.openxmlformats.org/drawingml/2006/main">
          <a:off x="2193925" y="308610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13.6</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0.2662</cdr:x>
      <cdr:y>0.73515</cdr:y>
    </cdr:from>
    <cdr:to>
      <cdr:x>0.34433</cdr:x>
      <cdr:y>0.78218</cdr:y>
    </cdr:to>
    <cdr:sp macro="" textlink="">
      <cdr:nvSpPr>
        <cdr:cNvPr id="3" name="Text Box 2"/>
        <cdr:cNvSpPr txBox="1">
          <a:spLocks xmlns:a="http://schemas.openxmlformats.org/drawingml/2006/main" noChangeArrowheads="1"/>
        </cdr:cNvSpPr>
      </cdr:nvSpPr>
      <cdr:spPr bwMode="auto">
        <a:xfrm xmlns:a="http://schemas.openxmlformats.org/drawingml/2006/main">
          <a:off x="1460500" y="28289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6.9</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0.20023</cdr:x>
      <cdr:y>0.65099</cdr:y>
    </cdr:from>
    <cdr:to>
      <cdr:x>0.27836</cdr:x>
      <cdr:y>0.69802</cdr:y>
    </cdr:to>
    <cdr:sp macro="" textlink="">
      <cdr:nvSpPr>
        <cdr:cNvPr id="4" name="Text Box 2"/>
        <cdr:cNvSpPr txBox="1">
          <a:spLocks xmlns:a="http://schemas.openxmlformats.org/drawingml/2006/main" noChangeArrowheads="1"/>
        </cdr:cNvSpPr>
      </cdr:nvSpPr>
      <cdr:spPr bwMode="auto">
        <a:xfrm xmlns:a="http://schemas.openxmlformats.org/drawingml/2006/main">
          <a:off x="1098550" y="250507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4.4</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0.45544</cdr:x>
      <cdr:y>0.58663</cdr:y>
    </cdr:from>
    <cdr:to>
      <cdr:x>0.53356</cdr:x>
      <cdr:y>0.63366</cdr:y>
    </cdr:to>
    <cdr:sp macro="" textlink="">
      <cdr:nvSpPr>
        <cdr:cNvPr id="6" name="Text Box 2"/>
        <cdr:cNvSpPr txBox="1">
          <a:spLocks xmlns:a="http://schemas.openxmlformats.org/drawingml/2006/main" noChangeArrowheads="1"/>
        </cdr:cNvSpPr>
      </cdr:nvSpPr>
      <cdr:spPr bwMode="auto">
        <a:xfrm xmlns:a="http://schemas.openxmlformats.org/drawingml/2006/main">
          <a:off x="2498725" y="22574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12.2</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0.22106</cdr:x>
      <cdr:y>0.45792</cdr:y>
    </cdr:from>
    <cdr:to>
      <cdr:x>0.29919</cdr:x>
      <cdr:y>0.50495</cdr:y>
    </cdr:to>
    <cdr:sp macro="" textlink="">
      <cdr:nvSpPr>
        <cdr:cNvPr id="7" name="Text Box 2"/>
        <cdr:cNvSpPr txBox="1">
          <a:spLocks xmlns:a="http://schemas.openxmlformats.org/drawingml/2006/main" noChangeArrowheads="1"/>
        </cdr:cNvSpPr>
      </cdr:nvSpPr>
      <cdr:spPr bwMode="auto">
        <a:xfrm xmlns:a="http://schemas.openxmlformats.org/drawingml/2006/main">
          <a:off x="1212850" y="17621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5.0</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0.29398</cdr:x>
      <cdr:y>0.40594</cdr:y>
    </cdr:from>
    <cdr:to>
      <cdr:x>0.37211</cdr:x>
      <cdr:y>0.45297</cdr:y>
    </cdr:to>
    <cdr:sp macro="" textlink="">
      <cdr:nvSpPr>
        <cdr:cNvPr id="8" name="Text Box 2"/>
        <cdr:cNvSpPr txBox="1">
          <a:spLocks xmlns:a="http://schemas.openxmlformats.org/drawingml/2006/main" noChangeArrowheads="1"/>
        </cdr:cNvSpPr>
      </cdr:nvSpPr>
      <cdr:spPr bwMode="auto">
        <a:xfrm xmlns:a="http://schemas.openxmlformats.org/drawingml/2006/main">
          <a:off x="1612900" y="156210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8.0</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0.23785</cdr:x>
      <cdr:y>0.35644</cdr:y>
    </cdr:from>
    <cdr:to>
      <cdr:x>0.31597</cdr:x>
      <cdr:y>0.40347</cdr:y>
    </cdr:to>
    <cdr:sp macro="" textlink="">
      <cdr:nvSpPr>
        <cdr:cNvPr id="9" name="Text Box 2"/>
        <cdr:cNvSpPr txBox="1">
          <a:spLocks xmlns:a="http://schemas.openxmlformats.org/drawingml/2006/main" noChangeArrowheads="1"/>
        </cdr:cNvSpPr>
      </cdr:nvSpPr>
      <cdr:spPr bwMode="auto">
        <a:xfrm xmlns:a="http://schemas.openxmlformats.org/drawingml/2006/main">
          <a:off x="1304925" y="137160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5.5</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0.36516</cdr:x>
      <cdr:y>0.2896</cdr:y>
    </cdr:from>
    <cdr:to>
      <cdr:x>0.44329</cdr:x>
      <cdr:y>0.33663</cdr:y>
    </cdr:to>
    <cdr:sp macro="" textlink="">
      <cdr:nvSpPr>
        <cdr:cNvPr id="10" name="Text Box 2"/>
        <cdr:cNvSpPr txBox="1">
          <a:spLocks xmlns:a="http://schemas.openxmlformats.org/drawingml/2006/main" noChangeArrowheads="1"/>
        </cdr:cNvSpPr>
      </cdr:nvSpPr>
      <cdr:spPr bwMode="auto">
        <a:xfrm xmlns:a="http://schemas.openxmlformats.org/drawingml/2006/main">
          <a:off x="2003425" y="11144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10.8</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0.13194</cdr:x>
      <cdr:y>0.21287</cdr:y>
    </cdr:from>
    <cdr:to>
      <cdr:x>0.21007</cdr:x>
      <cdr:y>0.2599</cdr:y>
    </cdr:to>
    <cdr:sp macro="" textlink="">
      <cdr:nvSpPr>
        <cdr:cNvPr id="11" name="Text Box 2"/>
        <cdr:cNvSpPr txBox="1">
          <a:spLocks xmlns:a="http://schemas.openxmlformats.org/drawingml/2006/main" noChangeArrowheads="1"/>
        </cdr:cNvSpPr>
      </cdr:nvSpPr>
      <cdr:spPr bwMode="auto">
        <a:xfrm xmlns:a="http://schemas.openxmlformats.org/drawingml/2006/main">
          <a:off x="723900" y="81915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5.3</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0.30787</cdr:x>
      <cdr:y>0.95297</cdr:y>
    </cdr:from>
    <cdr:to>
      <cdr:x>0.386</cdr:x>
      <cdr:y>1</cdr:y>
    </cdr:to>
    <cdr:sp macro="" textlink="">
      <cdr:nvSpPr>
        <cdr:cNvPr id="12" name="Text Box 2"/>
        <cdr:cNvSpPr txBox="1">
          <a:spLocks xmlns:a="http://schemas.openxmlformats.org/drawingml/2006/main" noChangeArrowheads="1"/>
        </cdr:cNvSpPr>
      </cdr:nvSpPr>
      <cdr:spPr bwMode="auto">
        <a:xfrm xmlns:a="http://schemas.openxmlformats.org/drawingml/2006/main">
          <a:off x="1689100" y="632841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0.24711</cdr:x>
      <cdr:y>0.11139</cdr:y>
    </cdr:from>
    <cdr:to>
      <cdr:x>0.32523</cdr:x>
      <cdr:y>0.15842</cdr:y>
    </cdr:to>
    <cdr:sp macro="" textlink="">
      <cdr:nvSpPr>
        <cdr:cNvPr id="13" name="Text Box 2"/>
        <cdr:cNvSpPr txBox="1">
          <a:spLocks xmlns:a="http://schemas.openxmlformats.org/drawingml/2006/main" noChangeArrowheads="1"/>
        </cdr:cNvSpPr>
      </cdr:nvSpPr>
      <cdr:spPr bwMode="auto">
        <a:xfrm xmlns:a="http://schemas.openxmlformats.org/drawingml/2006/main">
          <a:off x="1355725" y="4286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6.6</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0.23785</cdr:x>
      <cdr:y>0.05941</cdr:y>
    </cdr:from>
    <cdr:to>
      <cdr:x>0.31597</cdr:x>
      <cdr:y>0.10644</cdr:y>
    </cdr:to>
    <cdr:sp macro="" textlink="">
      <cdr:nvSpPr>
        <cdr:cNvPr id="14" name="Text Box 2"/>
        <cdr:cNvSpPr txBox="1">
          <a:spLocks xmlns:a="http://schemas.openxmlformats.org/drawingml/2006/main" noChangeArrowheads="1"/>
        </cdr:cNvSpPr>
      </cdr:nvSpPr>
      <cdr:spPr bwMode="auto">
        <a:xfrm xmlns:a="http://schemas.openxmlformats.org/drawingml/2006/main">
          <a:off x="1304925" y="22860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5.8</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0.23785</cdr:x>
      <cdr:y>0</cdr:y>
    </cdr:from>
    <cdr:to>
      <cdr:x>0.31597</cdr:x>
      <cdr:y>0.04703</cdr:y>
    </cdr:to>
    <cdr:sp macro="" textlink="">
      <cdr:nvSpPr>
        <cdr:cNvPr id="15" name="Text Box 2"/>
        <cdr:cNvSpPr txBox="1">
          <a:spLocks xmlns:a="http://schemas.openxmlformats.org/drawingml/2006/main" noChangeArrowheads="1"/>
        </cdr:cNvSpPr>
      </cdr:nvSpPr>
      <cdr:spPr bwMode="auto">
        <a:xfrm xmlns:a="http://schemas.openxmlformats.org/drawingml/2006/main">
          <a:off x="1304925" y="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6.4</a:t>
          </a:r>
          <a:endParaRPr lang="en-US" sz="8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0.11458</cdr:x>
      <cdr:y>0.30571</cdr:y>
    </cdr:from>
    <cdr:to>
      <cdr:x>0.20313</cdr:x>
      <cdr:y>0.37714</cdr:y>
    </cdr:to>
    <cdr:sp macro="" textlink="">
      <cdr:nvSpPr>
        <cdr:cNvPr id="2" name="Text Box 2"/>
        <cdr:cNvSpPr txBox="1">
          <a:spLocks xmlns:a="http://schemas.openxmlformats.org/drawingml/2006/main" noChangeArrowheads="1"/>
        </cdr:cNvSpPr>
      </cdr:nvSpPr>
      <cdr:spPr bwMode="auto">
        <a:xfrm xmlns:a="http://schemas.openxmlformats.org/drawingml/2006/main">
          <a:off x="628650" y="1019175"/>
          <a:ext cx="485775" cy="2381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a:t>8.7</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A3709-2EB1-41C2-A1E8-B9BEA05CC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5593</Words>
  <Characters>31881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eugenia.bratu</cp:lastModifiedBy>
  <cp:revision>3</cp:revision>
  <cp:lastPrinted>2022-11-25T07:25:00Z</cp:lastPrinted>
  <dcterms:created xsi:type="dcterms:W3CDTF">2023-01-16T06:48:00Z</dcterms:created>
  <dcterms:modified xsi:type="dcterms:W3CDTF">2023-01-16T06:48:00Z</dcterms:modified>
</cp:coreProperties>
</file>